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 xml:space="preserve">2023年省级基本公共卫生补助资金（榕财社（指）【2022】165号、赵批件【2023】96号）								</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																</w:t>
        <w:cr/>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明确基本公共卫生服务补助资金具体列支范围，并结合服务人口数、完成基本公共卫生服务任务的数量和质量、服务效果和绩效考核的结果等要素分配基本公共卫生服务资金，规范预算执行管理，提高资金使用的社会效益。																</w:t>
        <w:c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16.3867</w:t>
      </w:r>
      <w:r>
        <w:rPr>
          <w:rFonts w:ascii="仿宋" w:hAnsi="仿宋" w:cs="仿宋" w:eastAsia="仿宋"/>
          <w:sz w:val="32"/>
        </w:rPr>
        <w:t>，完成值</w:t>
      </w:r>
      <w:r>
        <w:rPr>
          <w:rFonts w:ascii="仿宋" w:hAnsi="仿宋" w:cs="仿宋" w:eastAsia="仿宋"/>
          <w:sz w:val="32"/>
        </w:rPr>
        <w:t>4.02</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w:t>
        <w:cr/>
        <w:t/>
      </w:r>
      <w:r>
        <w:rPr>
          <w:rFonts w:ascii="仿宋" w:hAnsi="仿宋" w:cs="仿宋" w:eastAsia="仿宋"/>
          <w:sz w:val="32"/>
        </w:rPr>
        <w:t>(</w:t>
      </w:r>
      <w:r>
        <w:rPr>
          <w:rFonts w:ascii="仿宋" w:hAnsi="仿宋" w:cs="仿宋" w:eastAsia="仿宋"/>
          <w:sz w:val="32"/>
        </w:rPr>
        <w:t>家</w:t>
      </w:r>
      <w:r>
        <w:rPr>
          <w:rFonts w:ascii="仿宋" w:hAnsi="仿宋" w:cs="仿宋" w:eastAsia="仿宋"/>
          <w:sz w:val="32"/>
        </w:rPr>
        <w:t>)，目标值</w:t>
      </w:r>
      <w:r>
        <w:rPr>
          <w:rFonts w:ascii="仿宋" w:hAnsi="仿宋" w:cs="仿宋" w:eastAsia="仿宋"/>
          <w:sz w:val="32"/>
        </w:rPr>
        <w:t>1507</w:t>
      </w:r>
      <w:r>
        <w:rPr>
          <w:rFonts w:ascii="仿宋" w:hAnsi="仿宋" w:cs="仿宋" w:eastAsia="仿宋"/>
          <w:sz w:val="32"/>
        </w:rPr>
        <w:t>，完成值</w:t>
      </w:r>
      <w:r>
        <w:rPr>
          <w:rFonts w:ascii="仿宋" w:hAnsi="仿宋" w:cs="仿宋" w:eastAsia="仿宋"/>
          <w:sz w:val="32"/>
        </w:rPr>
        <w:t>1507</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1)因支付未及时而引起的纠纷</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cr/>
        <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