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2023年省级基本公共卫生补助资金（榕财社（指）【2022】165号、赵批件【2023】96号）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31.52</w:t>
      </w:r>
      <w:r>
        <w:rPr>
          <w:rFonts w:ascii="仿宋" w:hAnsi="仿宋" w:cs="仿宋" w:eastAsia="仿宋"/>
          <w:sz w:val="32"/>
        </w:rPr>
        <w:t>，完成值</w:t>
      </w:r>
      <w:r>
        <w:rPr>
          <w:rFonts w:ascii="仿宋" w:hAnsi="仿宋" w:cs="仿宋" w:eastAsia="仿宋"/>
          <w:sz w:val="32"/>
        </w:rPr>
        <w:t>14.57</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w:t>
      </w:r>
      <w:r>
        <w:rPr>
          <w:rFonts w:ascii="仿宋" w:hAnsi="仿宋" w:cs="仿宋" w:eastAsia="仿宋"/>
          <w:sz w:val="32"/>
        </w:rPr>
        <w:t>(</w:t>
      </w:r>
      <w:r>
        <w:rPr>
          <w:rFonts w:ascii="仿宋" w:hAnsi="仿宋" w:cs="仿宋" w:eastAsia="仿宋"/>
          <w:sz w:val="32"/>
        </w:rPr>
        <w:t>人</w:t>
      </w:r>
      <w:r>
        <w:rPr>
          <w:rFonts w:ascii="仿宋" w:hAnsi="仿宋" w:cs="仿宋" w:eastAsia="仿宋"/>
          <w:sz w:val="32"/>
        </w:rPr>
        <w:t>)，目标值</w:t>
      </w:r>
      <w:r>
        <w:rPr>
          <w:rFonts w:ascii="仿宋" w:hAnsi="仿宋" w:cs="仿宋" w:eastAsia="仿宋"/>
          <w:sz w:val="32"/>
        </w:rPr>
        <w:t>2035</w:t>
      </w:r>
      <w:r>
        <w:rPr>
          <w:rFonts w:ascii="仿宋" w:hAnsi="仿宋" w:cs="仿宋" w:eastAsia="仿宋"/>
          <w:sz w:val="32"/>
        </w:rPr>
        <w:t>，完成值</w:t>
      </w:r>
      <w:r>
        <w:rPr>
          <w:rFonts w:ascii="仿宋" w:hAnsi="仿宋" w:cs="仿宋" w:eastAsia="仿宋"/>
          <w:sz w:val="32"/>
        </w:rPr>
        <w:t>3346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cr/>
        <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1)因支付未及时引起的纠纷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