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2023年省级基本公共卫生补助资金（榕财社（指）【2022】165号、赵批件【2023】96号）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明确基本公共卫生服务补助资金具体列支范围，并结合服务人口数、完成基本公共卫生服务任务的数量和质量、服务效果和绩效考核的结果等要素分配基本公共卫生服务资金，规范预算执行管理，提高资金使用的社会效益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按照基本公共卫生服务项目要求，积椎为居民提供了相应的服务，按期完成指标值，累计支出2.4847元，支出率17.39%。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14.2847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2.4847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1)预防接种人次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336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1)因支付未及时而引起的纠纷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