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2023年基本公共卫生经费县级配套（赵批【2023】37号）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按照基本公共卫生服务项目要求，积椎为居民提供了相应的服务，按期完成指标值，累计支出13.02万元，支出率42.19%。</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30.8656</w:t>
      </w:r>
      <w:r>
        <w:rPr>
          <w:rFonts w:ascii="仿宋" w:hAnsi="仿宋" w:cs="仿宋" w:eastAsia="仿宋"/>
          <w:sz w:val="32"/>
        </w:rPr>
        <w:t>，完成值</w:t>
      </w:r>
      <w:r>
        <w:rPr>
          <w:rFonts w:ascii="仿宋" w:hAnsi="仿宋" w:cs="仿宋" w:eastAsia="仿宋"/>
          <w:sz w:val="32"/>
        </w:rPr>
        <w:t>13.0156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17362</w:t>
      </w:r>
      <w:r>
        <w:rPr>
          <w:rFonts w:ascii="仿宋" w:hAnsi="仿宋" w:cs="仿宋" w:eastAsia="仿宋"/>
          <w:sz w:val="32"/>
        </w:rPr>
        <w:t>，完成值</w:t>
      </w:r>
      <w:r>
        <w:rPr>
          <w:rFonts w:ascii="仿宋" w:hAnsi="仿宋" w:cs="仿宋" w:eastAsia="仿宋"/>
          <w:sz w:val="32"/>
        </w:rPr>
        <w:t>17913</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