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2023年基本公共卫生经费县级配套（赵批【2023】37号）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50</w:t>
      </w:r>
      <w:r>
        <w:rPr>
          <w:rFonts w:ascii="仿宋_GB2312" w:hAnsi="仿宋_GB2312" w:cs="仿宋_GB2312" w:eastAsia="仿宋_GB2312"/>
          <w:sz w:val="32"/>
        </w:rPr>
        <w:t>分，等级为</w:t>
      </w:r>
      <w:r>
        <w:rPr>
          <w:rFonts w:ascii="仿宋_GB2312" w:hAnsi="仿宋_GB2312" w:cs="仿宋_GB2312" w:eastAsia="仿宋_GB2312"/>
          <w:sz w:val="32"/>
        </w:rPr>
        <w:t>低</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3</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28.5392</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16053</w:t>
      </w:r>
      <w:r>
        <w:rPr>
          <w:rFonts w:ascii="仿宋" w:hAnsi="仿宋" w:cs="仿宋" w:eastAsia="仿宋"/>
          <w:sz w:val="32"/>
        </w:rPr>
        <w:t>，完成值</w:t>
      </w:r>
      <w:r>
        <w:rPr>
          <w:rFonts w:ascii="仿宋" w:hAnsi="仿宋" w:cs="仿宋" w:eastAsia="仿宋"/>
          <w:sz w:val="32"/>
        </w:rPr>
        <w:t>16053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"2023年基本公共卫生补助资金因该资金未下拨，所以该资金未进行补助发放2023年基本公共卫生补助资金待下拨资金后，单位应及时发放该补助资金				"			</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2023年基本公共卫生补助资金因该资金未下拨，所以该资金未进行补助发放2023年基本公共卫生补助资金待下拨资金后，单位应及时发放该补助资金</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"""公共卫生服务的项目多，需要完成的基本公共卫生服务任务的数量和质量、服务效果都需要得到保障。 加强补助资金的下拨率，资金及时下拨，以便更好的完成基本公共卫生服务项目任务。""				"			</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 xml:space="preserve">公卫科人员的业务知识培训学习，提升科室人员的整体素质。加大公卫的投入力度，在工作中探索模式，提高公共卫生服务能力。				</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