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2023年卫生健康转移支付补助资金（第二批）【（公立医院综合改革补助）闽财社指【2022】91号】直达资金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资金主要用于总医院合理用药信息系统，六都医院用于购置过氧化氢低温等离子灭菌器和细菌鉴定药敏分析系统，中医院用于中医文化建设院区大门及附属设施改造项目。</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促进医院发展。</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99.5</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1)2023年公立医院综合改革补助项目投入成本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164</w:t>
      </w:r>
      <w:r>
        <w:rPr>
          <w:rFonts w:ascii="仿宋" w:hAnsi="仿宋" w:cs="仿宋" w:eastAsia="仿宋"/>
          <w:sz w:val="32"/>
        </w:rPr>
        <w:t>，完成值</w:t>
      </w:r>
      <w:r>
        <w:rPr>
          <w:rFonts w:ascii="仿宋" w:hAnsi="仿宋" w:cs="仿宋" w:eastAsia="仿宋"/>
          <w:sz w:val="32"/>
        </w:rPr>
        <w:t>94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1)购置“公立医院改革”所必备的设备数量</w:t>
        <w:cr/>
        <w:t/>
      </w:r>
      <w:r>
        <w:rPr>
          <w:rFonts w:ascii="仿宋" w:hAnsi="仿宋" w:cs="仿宋" w:eastAsia="仿宋"/>
          <w:sz w:val="32"/>
        </w:rPr>
        <w:t>(</w:t>
      </w:r>
      <w:r>
        <w:rPr>
          <w:rFonts w:ascii="仿宋" w:hAnsi="仿宋" w:cs="仿宋" w:eastAsia="仿宋"/>
          <w:sz w:val="32"/>
        </w:rPr>
        <w:t>台</w:t>
      </w:r>
      <w:r>
        <w:rPr>
          <w:rFonts w:ascii="仿宋" w:hAnsi="仿宋" w:cs="仿宋" w:eastAsia="仿宋"/>
          <w:sz w:val="32"/>
        </w:rPr>
        <w:t>)，目标值</w:t>
      </w:r>
      <w:r>
        <w:rPr>
          <w:rFonts w:ascii="仿宋" w:hAnsi="仿宋" w:cs="仿宋" w:eastAsia="仿宋"/>
          <w:sz w:val="32"/>
        </w:rPr>
        <w:t>2</w:t>
      </w:r>
      <w:r>
        <w:rPr>
          <w:rFonts w:ascii="仿宋" w:hAnsi="仿宋" w:cs="仿宋" w:eastAsia="仿宋"/>
          <w:sz w:val="32"/>
        </w:rPr>
        <w:t>，完成值</w:t>
      </w:r>
      <w:r>
        <w:rPr>
          <w:rFonts w:ascii="仿宋" w:hAnsi="仿宋" w:cs="仿宋" w:eastAsia="仿宋"/>
          <w:sz w:val="32"/>
        </w:rPr>
        <w:t>1</w:t>
      </w:r>
      <w:r>
        <w:rPr>
          <w:rFonts w:ascii="仿宋" w:hAnsi="仿宋" w:cs="仿宋" w:eastAsia="仿宋"/>
          <w:sz w:val="32"/>
        </w:rPr>
        <w:t>，分值</w:t>
      </w:r>
      <w:r>
        <w:rPr>
          <w:rFonts w:ascii="仿宋" w:hAnsi="仿宋" w:cs="仿宋" w:eastAsia="仿宋"/>
          <w:sz w:val="32"/>
        </w:rPr>
        <w:t>1</w:t>
      </w:r>
      <w:r>
        <w:rPr>
          <w:rFonts w:ascii="仿宋" w:hAnsi="仿宋" w:cs="仿宋" w:eastAsia="仿宋"/>
          <w:sz w:val="32"/>
        </w:rPr>
        <w:t>，得分</w:t>
      </w:r>
      <w:r>
        <w:rPr>
          <w:rFonts w:ascii="仿宋" w:hAnsi="仿宋" w:cs="仿宋" w:eastAsia="仿宋"/>
          <w:sz w:val="32"/>
        </w:rPr>
        <w:t>0.5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1)设备购置符合相关政府采购文件规定</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19</w:t>
      </w:r>
      <w:r>
        <w:rPr>
          <w:rFonts w:ascii="仿宋" w:hAnsi="仿宋" w:cs="仿宋" w:eastAsia="仿宋"/>
          <w:sz w:val="32"/>
        </w:rPr>
        <w:t>，得分</w:t>
      </w:r>
      <w:r>
        <w:rPr>
          <w:rFonts w:ascii="仿宋" w:hAnsi="仿宋" w:cs="仿宋" w:eastAsia="仿宋"/>
          <w:sz w:val="32"/>
        </w:rPr>
        <w:t>19</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1)采购资金及时拨付率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1)因采购资金未及时拨付引起的纠纷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1)服务群体满意度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92.175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指标实际完成情况未达到目标值，因目标值设置的是台数，而实际采购的为一整套系统。</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认真审核项目立项合理性，加大项目资金使用进程，加强项目实际立项情况，制定合理的目标值。</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