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2022年卫生健康转移支付补助资金（第一批)【（基本公共卫生服务） 榕财社（指）【2022】54号】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为城乡居民提供基本医疗服务和基本公共卫生服务，运用适宜医疗技术和药物，开展常见病、多发病诊疗，接治转诊;推广应用适宜医疗技术，贯彻落实医疗卫生改革方针政策，管理辖区内的行政村卫生所；承担临床医疗、 预防保健、健康教育、公共卫生、家庭医生签约服务、应急救援保障等医疗和公共服务工作；对村级医务人员业务培训、医务人员继续教育等工作；承担全镇医疗服务和公共卫生服务监督与指导工作；落实全民健康管理和家庭医生签约服务工作，为人民群众提供全方位、全生命周期的健康服务，促进“以病人为中心”向“以健康为中心”转变。</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189.28</w:t>
      </w:r>
      <w:r>
        <w:rPr>
          <w:rFonts w:ascii="仿宋" w:hAnsi="仿宋" w:cs="仿宋" w:eastAsia="仿宋"/>
          <w:sz w:val="32"/>
        </w:rPr>
        <w:t>，完成值</w:t>
      </w:r>
      <w:r>
        <w:rPr>
          <w:rFonts w:ascii="仿宋" w:hAnsi="仿宋" w:cs="仿宋" w:eastAsia="仿宋"/>
          <w:sz w:val="32"/>
        </w:rPr>
        <w:t>8.51</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6000</w:t>
      </w:r>
      <w:r>
        <w:rPr>
          <w:rFonts w:ascii="仿宋" w:hAnsi="仿宋" w:cs="仿宋" w:eastAsia="仿宋"/>
          <w:sz w:val="32"/>
        </w:rPr>
        <w:t>，完成值</w:t>
      </w:r>
      <w:r>
        <w:rPr>
          <w:rFonts w:ascii="仿宋" w:hAnsi="仿宋" w:cs="仿宋" w:eastAsia="仿宋"/>
          <w:sz w:val="32"/>
        </w:rPr>
        <w:t>7258</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1)因补贴未及时发放引起的纠纷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