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基本公共卫生经费县级配套（华副批【2022】30号）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60</w:t>
      </w:r>
      <w:r>
        <w:rPr>
          <w:rFonts w:ascii="仿宋_GB2312" w:hAnsi="仿宋_GB2312" w:cs="仿宋_GB2312" w:eastAsia="仿宋_GB2312"/>
          <w:sz w:val="32"/>
        </w:rPr>
        <w:t>分，等级为</w:t>
      </w:r>
      <w:r>
        <w:rPr>
          <w:rFonts w:ascii="仿宋_GB2312" w:hAnsi="仿宋_GB2312" w:cs="仿宋_GB2312" w:eastAsia="仿宋_GB2312"/>
          <w:sz w:val="32"/>
        </w:rPr>
        <w:t>中</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4</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23.7</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12650</w:t>
      </w:r>
      <w:r>
        <w:rPr>
          <w:rFonts w:ascii="仿宋" w:hAnsi="仿宋" w:cs="仿宋" w:eastAsia="仿宋"/>
          <w:sz w:val="32"/>
        </w:rPr>
        <w:t>，完成值</w:t>
      </w:r>
      <w:r>
        <w:rPr>
          <w:rFonts w:ascii="仿宋" w:hAnsi="仿宋" w:cs="仿宋" w:eastAsia="仿宋"/>
          <w:sz w:val="32"/>
        </w:rPr>
        <w:t>13200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2022年基本公共卫生补助资金因该资金未下拨，所以该资金未进行补助发放2022年基本公共卫生补助资金待下拨资金后，单位应及时发放该补助资金 </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 xml:space="preserve">2022年基本公共卫生补助资金因该资金未下拨，所以该资金未进行补助发放2022年基本公共卫生补助资金待下拨资金后，单位应及时发放该补助资金 </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 xml:space="preserve">金待下拨资金后，单位应及时发放该补助资金 公卫科人员的业务知识培训学习，提升科室人员的整体素质。加大公卫的投入力度，在工作中探索模式，提高公共卫生服务能力。 </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 xml:space="preserve">"公共卫生服务的项目多，需要完成的基本公共卫生服务任务的数量和质量、服务效果都需要得到保障。 加强补助资金的下拨率，资金及时下拨，以便更好的完成基本公共卫生服务项目任务。" </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