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基本公共卫生经费县级配套（华副批【2022】30号）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按照基本公共卫生服务项目要求，积极为居民提供了相应的服务，按期完成指标值，无弄虚作假、无违规使用资金，资金使用合规率100%，及时率100%，无纠纷、投诉等事件发生。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30.9</w:t>
      </w:r>
      <w:r>
        <w:rPr>
          <w:rFonts w:ascii="仿宋" w:hAnsi="仿宋" w:cs="仿宋" w:eastAsia="仿宋"/>
          <w:sz w:val="32"/>
        </w:rPr>
        <w:t>，完成值</w:t>
      </w:r>
      <w:r>
        <w:rPr>
          <w:rFonts w:ascii="仿宋" w:hAnsi="仿宋" w:cs="仿宋" w:eastAsia="仿宋"/>
          <w:sz w:val="32"/>
        </w:rPr>
        <w:t>24.49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18780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