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基本公共卫生经费县级配套（华副批【2022】30号）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明确基本公共卫生服务补助资金具体列支范围，并结合服务人口数、完成基本公共卫生服务任务的数量和质量、服务效果和绩效考核的结果等要素分配基本公共卫生服务资金，规范预算执行管理，提高资金使用的社会效益。</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88.2</w:t>
      </w:r>
      <w:r>
        <w:rPr>
          <w:rFonts w:ascii="仿宋_GB2312" w:hAnsi="仿宋_GB2312" w:cs="仿宋_GB2312" w:eastAsia="仿宋_GB2312"/>
          <w:sz w:val="32"/>
        </w:rPr>
        <w:t>分，等级为</w:t>
      </w:r>
      <w:r>
        <w:rPr>
          <w:rFonts w:ascii="仿宋_GB2312" w:hAnsi="仿宋_GB2312" w:cs="仿宋_GB2312" w:eastAsia="仿宋_GB2312"/>
          <w:sz w:val="32"/>
        </w:rPr>
        <w:t>良</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5</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16.65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1)健康档案建档人次</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10044</w:t>
      </w:r>
      <w:r>
        <w:rPr>
          <w:rFonts w:ascii="仿宋" w:hAnsi="仿宋" w:cs="仿宋" w:eastAsia="仿宋"/>
          <w:sz w:val="32"/>
        </w:rPr>
        <w:t>，完成值</w:t>
      </w:r>
      <w:r>
        <w:rPr>
          <w:rFonts w:ascii="仿宋" w:hAnsi="仿宋" w:cs="仿宋" w:eastAsia="仿宋"/>
          <w:sz w:val="32"/>
        </w:rPr>
        <w:t>9142</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18.2</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 xml:space="preserve">1)因补贴未及时发放引起的纠纷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项目实际健康档案建档人次绩效目标值设置过高，建议按照实际情况填写</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项目实际健康档案建档人次绩效目标值设置过高，建议按照实际情况填写</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