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老干部医药费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老干部医药费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离退休、5.12、二级保健等老干部为经济社会发展做出了特殊贡献，为了更好的保障老干部的晚年生活，部门应做好工作为老干部医药及药品费用报销提供方便的服务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1)保健对象全年报销人次数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