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2023年重大传染病防控省级补助资金（榕财社（指）【2023】122号）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根据省财政厅、省卫健委文件精神，用于支持开展扩大国家免疫规划、艾滋病防治、结核病防治等重大传染病防控工作。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根据省财政厅、省卫健委文件精神，用于支持开展扩大国家免疫规划、艾滋病防治、结核病防治等重大传染病防控工作。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1)当年度中央投入我县重大传染病防控成本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144.43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1)疟疾媒介调查点数量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1)麻风病可疑线索报告率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2)饮用水和环境卫生监测完成率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3)麻风病按规定随访到位率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4)艾滋病免费抗病毒治疗任务完成率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5)艾滋病高危人群（暗娼、男性同性性行人群）检测比例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6)艾滋病感染孕产妇所生儿童抗病毒用药比例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7)肺结核患者规范治疗任务完成率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8)肺结核患者成功治疗率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92.89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9)病原学阳性肺结核患者耐药筛查率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10)全国青少年烟草流行调查应答率（实际完成人数占应调查的人数的比例）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11)严重精神障碍患者筛查任务完成率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12)在册严重精神障碍患者治疗率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96.66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1)社会公众满意率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2023年重大传染病防控省级补助资金绩效目标大部分已经完成，用款计划已报批，暂未获得批准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用款计划已报批，暂未获得批准，和财政加强沟通，尽快办理报批手续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