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2022年计划生育补助资金（第二批） （中央直达资金）（闽财社指【2022】43号）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促进人口全面均衡发展，缓解计划生育特殊家庭实际困难，帮助减轻计划生育家庭养老负担，提升计划生育家庭发展能力，促进社会和谐稳定。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促进人口全面均衡发展，缓解计划生育特殊家庭实际困难，帮助减轻计划生育家庭养老负担，提升计划生育家庭发展能力，促进社会和谐稳定。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1)符合条件的计划生育特殊家庭补助（49-59岁）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2)符合条件的计划生育特殊家庭补助（60岁及以上）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3)符合条件的属于低保的计划生育特殊家庭补助（49-59岁）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4)符合条件的属于低保的计划生育特殊家庭补助（60岁及以上）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5)城乡部分计划生育家庭奖励扶助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6)城乡部分计划生育低保家庭奖励扶助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7)农村计划生育家庭二女节育奖励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8)农村计划生育家庭城乡居民医保补助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9)农村部分计划生育贡献奖励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1)计划生育特别扶助申报人数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2)城镇计生家庭奖励申报人数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3)计划生育贡献奖励申报人数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4)2015年前农村两女绝育奖励申报人数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5)独生子女父母光荣证奖励申报人数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1)符合条件申报对象覆盖率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1)奖励和扶助资金到位率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