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县级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2023年卫生健康转移支付省级补助资金补助资金（第二批）（榕财社（指）[2023]33号、榕财社（指）[2023]103号）健康素养与控烟履约（直达资金）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了解我县居民健康素养水平和变化趋势，分析我县居民健康素养影响因素，为制定卫生健康相关政策提供科学依据。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经项目的抽样调查，了解我县居民健康素养水平及变化趋势，分析我县居民健康素养影响因素，为制定卫生健康相关政策提供科学依据。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1)项目投入资金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4.5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4.49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1)在辖区内开展问卷调查数量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1)支付结算及时性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1)申请和使用资金过程中有弄虚作假行为件数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由于指标比较迟下达，计划申请不及时，项目完成，到2024年初才开支费用。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合理的制定计划，关注项目完成情况，做好资金申请流程，及时开支费用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及时关注资金指标动态，及时做好资金计划申请，及做好回款工作.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合理的制定计划，及时关注项目完成情况，做好资金申请流程和开支费用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