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县级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2023年卫生健康转移支付省级补助资金（第二批）基本公共卫生服务地方病防治（榕财社指【2023】33号）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2023年卫生健康转移支付省级补助资金（第二批）地方病防治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经过碘盐监测，提升卫生服务质量，预防控制重大疾病，提升地方病防治。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1)碘盐含量监测人数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1)碘盐监测合格率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93.5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1)任务完成及时率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1)碘盐监测覆盖率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1)服务群体满意度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