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提前下达2023年计划生育奖励扶助等计生项目市级补助资金 榕财社（指）【2022】149号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促进人口全面均衡发展，缓解计划生育特殊家庭实际困难，帮助减轻计划生育家庭养老负担，提升计划生育家庭发展能力，促进社会和谐稳定。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促进人口全面均衡发展，缓解计划生育特殊家庭实际困难，帮助减轻计划生育家庭养老负担，提升计划生育家庭发展能力，促进社会和谐稳定。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99.78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21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1)城乡部分计划生育低保家庭奖励扶助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2)城乡部分计划生育家庭奖励扶助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3)符合条件的计划生育特殊家庭补助（49-59岁）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4)符合条件的计划生育特殊家庭补助（60岁及以上）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5)符合条件的属于低保的计划生育特殊家庭补助（49-59岁）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6)符合条件的属于低保的计划生育特殊家庭补助（60岁及以上）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7)计划生育手术并发症补助（49-59岁）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8)计划生育手术并发症补助（60岁及以上）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9)计划生育手术并发症补助（49-59周岁）低保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10)农村计划生育家庭二女节育奖励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11)农村部分计划生育贡献奖励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1)农村计生家庭奖励申报人数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2)城镇计生家庭奖励申报人数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1558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3)计划生育特别扶助申报人数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4)计生手术并发症补助申报人数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5)计划生育贡献奖励申报人数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687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0.88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6)2015年前农村两女绝育奖励申报人数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2437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1)符合条件申报对象覆盖率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1)奖励和扶助资金到位率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