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总医院区域应急医疗救治设施建设项目赵批2023财18号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拨付2021年村卫生所建设县级配套资金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拨付2021年村卫生所建设县级配套资金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93.56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1)建设资金总额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155.68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1)村卫生所标准化覆盖县数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2)村卫生所标准化覆盖乡镇数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3)村卫生所标准化覆盖行政村数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64.23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1.28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64.23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1.28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1)改建卫生所覆盖行政村数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2)新建卫生所覆盖行政村数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1)卫生所服务对象满意度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