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2023年生育关怀及家庭健康促进专项资金的通知（闽财社指【2023】17号）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生育关怀及家庭健康促进32万（其中宣传教育3万，儿童早期发展2万，青春健康7万，家庭健康促进10万，法律援助10万）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加大宣传力度，服务更多计生家庭。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1)生育关怀及家庭健康促进成本控制数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1)宣传倡导场次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2)发放公益书籍册数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3)新建家庭健康服务中心个数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4)家庭健康指导员培训人数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1)开展法治宣传、法律咨询活动场次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1)“健康知识进万家” 小程序覆盖率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没有项目管理制度，绩效评估不够全面,项目目标编制数量不够多，编制不够全面 加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加强项目编制数量，加大编制目标范围，在下一年增加项目管理制度，加强项目管理。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