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清理疫情防控工作中拖欠民营企业中小企业账款经费(赵批财[2023]363号）(直达资金）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新冠肺炎防控专项经费，用于支付新冠病毒核算检测费用、隔离点场地租金、办公用房拆除安置费等。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新冠肺炎防控专项经费，用于支付新冠病毒核算检测费用、隔离点场地租金、办公用房拆除安置费等。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96.98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199.79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1)支付核酸检测机构数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1)申请和支付过程中是否有弄虚作假行为发生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