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2023年计划生育转移支付（省级）资金  闽财社指[2023]31号直达资金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通过实施部分计划生育家庭奖励扶助制度、计划生育家庭特别扶助等各项计划生育奖励扶助政策，缓解扶助对象在生产、生活、医疗和养老等方面的特殊困难，切实维护计划生育家庭合法权益。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通过实施部分计划生育家庭奖励扶助制度、计划生育家庭特别扶助等各项计划生育奖励扶助政策，缓解扶助对象在生产、生活、医疗和养老等方面的特殊困难，切实维护计划生育家庭合法权益。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21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1)城乡部分计划生育家庭奖励扶助投入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2)城乡部分计划生育低保家庭奖励扶助投入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3)计划生育特别扶助（49-59周岁）投入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4)计划生育特别扶助（60周岁以上）投入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5)计划生育低保家庭特别扶助（49-59周岁）投入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6)计划生育低保家庭特别扶助（60周岁以上）投入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7)计划生育手术并发症补助投入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元/人/月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8)农村计划生育家庭二女绝育奖励投入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9)农村计划生育家庭贡献奖励投入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10)农村计划生育家庭参加城乡居民医保补助省级财政投入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元/人/年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1)农村计生家庭奖励申报人数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2)城镇计生家庭奖励申报人数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3)计划生育特别扶助申报人数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4)计生手术并发症补助人数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5)计划生育贡献奖励申报人数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6)2015年前农村两女绝育奖励申报人数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7)独生子女父母光荣证奖励申报人数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1)符合条件对象覆盖率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1)奖励和扶助资金到位率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