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农村部分计生家庭奖励扶助（年龄提前）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农村部分计生家庭奖励扶助（年龄提前）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农村部分计生家庭奖励扶助（年龄提前）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