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农村部分计生家庭奖励扶助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农村部分计生家庭奖励扶助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农村部分计生家庭奖励扶助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