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2023卫生健康省级补助专项资金（卫生科研人才培养乡医培训）（榕财社指【2022】165号）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乡村医生培训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顺利完成乡村医生规化培训工作，达成预定目标。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1)乡村医生培训市级财政补助标准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元/人，年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274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1)乡村医生培训人数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1)乡村医生培训考核合格率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1)享受培训人员覆盖率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99.08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1)乡村医生满意度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由于疫情原因剩余指标没有使用，23年乡医培训优先使用了20.21.22年指标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未按实际规划及时结算支付目标，忽略疫情期间剩余资金使用情况，导致时效目标未按时完成。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进一步加强乡医培训资金管理，提高当年指标的使用效率，及时监督各细项资金使用情况，落实乡医培训资金使用目标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设置项目完成目标时多关注单位实际使用资金情况，保证目标及时准确地完成，进一步加强乡医培训资金管理，提高当年指标的使用效率。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