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2022年重大传染病防控省级补助资金 榕财社（指）【2023】78号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根据省财政厅、省卫健委文件精神，用于支持开展扩大国家免疫规划、艾滋病防治、结核病防治等重大传染病防控工作。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据省财政厅、省卫健委文件精神，用于支持开展扩大国家免疫规划、艾滋病防治、结核病防治等重大传染病防控工作。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48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103.21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1)疟疾媒介调查点数量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95.08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2)艾滋病免费抗病毒治疗任务完成率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3)艾滋病规范化随访干预比例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4)艾滋病高危人群（暗娼、男性同性性行人群）检测比例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106.77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5)艾滋病感染孕产妇所生儿童抗病毒用药比例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6)死因监测规范报告率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7)肺结核患者规范治疗任务完成率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96.56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8)病原学阳性肺结核患者密切接触者检查率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9)严重精神障碍患者筛查任务完成率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10)在册严重精神障碍患者治疗率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91.53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11)病媒生物监测结果分析报告率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1)补助单位覆盖率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1)社会公众满意率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2022年重大传染病防控省级补助资金项目大部分绩效目标已达标，用款计划已申请，未获得批复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2022年重大传染病防控省级补助资金项目大部分绩效目标已达标，用款计划已申请，未获得批复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2022年重大传染病防控省级补助资金项目大部分绩效目标已达标，用款计划已申请，未获得批复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2022年重大传染病防控省级补助资金项目大部分绩效目标已达标，用款计划已申请，未获得批复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