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生育关怀公益金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生育关怀公益金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该项目主要用于计生困难户元旦春节慰问金，母亲节慰问费，中秋节慰问费，计生家庭安康保险和紧急救助、宣传教育，关心计生困难户。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8.85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8.85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宣传教育还不够到位，关心广大计生困难户办度还不够，紧急救助宣传还不够。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该项目编制数量不够多，编制不够全面，没有项目管理制度。绩效评估等制度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加强宣传教育，争取覆盖到16个乡镇每个村居。加强紧急救助，关心广大计生困难户。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