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重大公共卫生防治市级补助经费（榕财社（指）【2023】134号）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重大公共卫生防治市级补助经费，用于疾病预防控制、妇幼保健项目支出。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重大公共卫生防治市级补助经费，用于疾病预防控制、妇幼保健项目支出。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79.23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1)实际婚检对数（对）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1)免费婚检档案完整率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1)突发公共卫生事件及时处置率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重大公共卫生防治市级补助经费项目大部分绩效目标已完成，用款计划已提交，未获得批复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重大公共卫生防治市级补助经费项目大部分绩效目标已完成，用款计划已提交，未获得批复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