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2023年医疗服务与保障能力提升（医疗卫生机构能力建设、卫生健康人才培养）补助资金（闽财社指〔2023〕71号）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2023年医疗服务与保障能力提升（医疗卫生机构能力建设、卫生健康人才培养）补助资金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做好年度医疗服务与保障能力提升（医疗卫生机构能力建设、卫生健康人才培养）的建设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1)项目投入资金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1)更新视频会商设备、国产算法的安全产品经费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19.9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1)支付结算及时性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1)申请和使用资金过程中有弄虚作假行为件数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