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widowControl/>
        <w:jc w:val="center"/>
        <w:rPr>
          <w:sz w:val="32"/>
          <w:szCs w:val="32"/>
          <w:highlight w:val="none"/>
        </w:rPr>
      </w:pPr>
    </w:p>
    <w:p>
      <w:pPr>
        <w:widowControl/>
        <w:jc w:val="both"/>
        <w:rPr>
          <w:sz w:val="84"/>
          <w:szCs w:val="84"/>
          <w:highlight w:val="none"/>
        </w:rPr>
      </w:pPr>
    </w:p>
    <w:p>
      <w:pPr>
        <w:widowControl/>
        <w:jc w:val="center"/>
        <w:rPr>
          <w:rFonts w:hint="eastAsia" w:ascii="方正小标宋简体" w:eastAsia="方正小标宋简体"/>
          <w:b/>
          <w:bCs/>
          <w:sz w:val="84"/>
          <w:szCs w:val="84"/>
          <w:highlight w:val="none"/>
        </w:rPr>
      </w:pPr>
      <w:r>
        <w:rPr>
          <w:rFonts w:hint="eastAsia" w:ascii="方正小标宋简体" w:eastAsia="方正小标宋简体"/>
          <w:b/>
          <w:bCs/>
          <w:sz w:val="84"/>
          <w:szCs w:val="84"/>
          <w:highlight w:val="none"/>
          <w:lang w:val="en-US" w:eastAsia="zh-CN"/>
        </w:rPr>
        <w:t>2025</w:t>
      </w:r>
      <w:r>
        <w:rPr>
          <w:rFonts w:hint="eastAsia" w:ascii="方正小标宋简体" w:eastAsia="方正小标宋简体"/>
          <w:b/>
          <w:bCs/>
          <w:sz w:val="84"/>
          <w:szCs w:val="84"/>
          <w:highlight w:val="none"/>
        </w:rPr>
        <w:t>年度</w:t>
      </w:r>
    </w:p>
    <w:p>
      <w:pPr>
        <w:widowControl/>
        <w:jc w:val="center"/>
        <w:rPr>
          <w:rFonts w:hint="eastAsia" w:ascii="方正小标宋简体" w:eastAsia="方正小标宋简体"/>
          <w:b/>
          <w:bCs/>
          <w:sz w:val="84"/>
          <w:szCs w:val="84"/>
          <w:highlight w:val="none"/>
        </w:rPr>
      </w:pPr>
      <w:r>
        <w:rPr>
          <w:rFonts w:hint="eastAsia" w:ascii="方正小标宋简体" w:eastAsia="方正小标宋简体"/>
          <w:b/>
          <w:bCs/>
          <w:sz w:val="84"/>
          <w:szCs w:val="84"/>
          <w:highlight w:val="none"/>
        </w:rPr>
        <w:t>中共闽清县委宣传部</w:t>
      </w:r>
    </w:p>
    <w:p>
      <w:pPr>
        <w:widowControl/>
        <w:jc w:val="center"/>
        <w:rPr>
          <w:rFonts w:hint="eastAsia" w:ascii="方正小标宋简体" w:eastAsia="方正小标宋简体"/>
          <w:b/>
          <w:bCs/>
          <w:sz w:val="84"/>
          <w:szCs w:val="84"/>
          <w:highlight w:val="none"/>
          <w:lang w:val="en-US" w:eastAsia="zh-CN"/>
        </w:rPr>
        <w:sectPr>
          <w:headerReference r:id="rId3" w:type="default"/>
          <w:footerReference r:id="rId4" w:type="default"/>
          <w:pgSz w:w="11906" w:h="16838"/>
          <w:pgMar w:top="1440" w:right="1083" w:bottom="1440" w:left="1083" w:header="0" w:footer="720" w:gutter="0"/>
          <w:pgBorders>
            <w:top w:val="none" w:sz="0" w:space="0"/>
            <w:left w:val="none" w:sz="0" w:space="0"/>
            <w:bottom w:val="none" w:sz="0" w:space="0"/>
            <w:right w:val="none" w:sz="0" w:space="0"/>
          </w:pgBorders>
          <w:pgNumType w:fmt="decimal"/>
          <w:cols w:space="0" w:num="1"/>
          <w:titlePg/>
          <w:rtlGutter w:val="0"/>
          <w:docGrid w:type="lines" w:linePitch="317" w:charSpace="0"/>
        </w:sectPr>
      </w:pPr>
      <w:r>
        <w:rPr>
          <w:rFonts w:hint="eastAsia" w:ascii="方正小标宋简体" w:eastAsia="方正小标宋简体"/>
          <w:b/>
          <w:bCs/>
          <w:sz w:val="84"/>
          <w:u w:val="none" w:color="auto"/>
          <w:lang w:val="en-US" w:eastAsia="zh-CN"/>
        </w:rPr>
        <w:t>（汇总）部门</w:t>
      </w:r>
      <w:r>
        <w:rPr>
          <w:rFonts w:hint="eastAsia" w:ascii="方正小标宋简体" w:eastAsia="方正小标宋简体"/>
          <w:b/>
          <w:bCs/>
          <w:sz w:val="84"/>
          <w:szCs w:val="84"/>
          <w:highlight w:val="none"/>
        </w:rPr>
        <w:t>决算</w:t>
      </w:r>
    </w:p>
    <w:sdt>
      <w:sdtPr>
        <w:rPr>
          <w:rFonts w:hint="eastAsia" w:ascii="仿宋" w:hAnsi="仿宋" w:eastAsia="仿宋" w:cs="仿宋"/>
          <w:b/>
          <w:bCs/>
          <w:kern w:val="0"/>
          <w:sz w:val="32"/>
          <w:szCs w:val="32"/>
          <w:lang w:val="en-US" w:eastAsia="zh-CN"/>
        </w:rPr>
        <w:id w:val="147456983"/>
        <w15:color w:val="DBDBDB"/>
      </w:sdtPr>
      <w:sdtEndPr>
        <w:rPr>
          <w:rFonts w:hint="eastAsia" w:ascii="宋体" w:hAnsi="宋体" w:eastAsia="宋体" w:cs="Times New Roman"/>
          <w:b/>
          <w:bCs/>
          <w:kern w:val="2"/>
          <w:sz w:val="32"/>
          <w:szCs w:val="32"/>
          <w:lang w:val="en-US" w:eastAsia="zh-CN" w:bidi="ar-SA"/>
        </w:rPr>
      </w:sdtEndPr>
      <w:sdtContent>
        <w:p>
          <w:pPr>
            <w:widowControl/>
            <w:spacing w:before="0" w:beforeLines="0" w:after="0" w:afterLines="0" w:line="240" w:lineRule="auto"/>
            <w:ind w:left="0" w:leftChars="0" w:right="0" w:rightChars="0" w:firstLine="0" w:firstLineChars="0"/>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目</w:t>
          </w:r>
          <w:r>
            <w:rPr>
              <w:rFonts w:hint="eastAsia" w:ascii="仿宋" w:hAnsi="仿宋" w:eastAsia="仿宋" w:cs="仿宋"/>
              <w:b/>
              <w:bCs/>
              <w:kern w:val="0"/>
              <w:sz w:val="32"/>
              <w:szCs w:val="32"/>
              <w:lang w:val="en-US" w:eastAsia="zh-CN"/>
            </w:rPr>
            <w:t xml:space="preserve"> </w:t>
          </w:r>
          <w:r>
            <w:rPr>
              <w:rFonts w:hint="eastAsia" w:ascii="仿宋" w:hAnsi="仿宋" w:eastAsia="仿宋" w:cs="仿宋"/>
              <w:b/>
              <w:bCs/>
              <w:kern w:val="0"/>
              <w:sz w:val="32"/>
              <w:szCs w:val="32"/>
            </w:rPr>
            <w:t>录</w:t>
          </w:r>
        </w:p>
        <w:p>
          <w:pPr>
            <w:pStyle w:val="17"/>
            <w:tabs>
              <w:tab w:val="right" w:leader="dot" w:pos="9730"/>
            </w:tabs>
            <w:rPr>
              <w:rFonts w:asciiTheme="minorHAnsi" w:hAnsiTheme="minorHAnsi"/>
              <w:sz w:val="22"/>
            </w:rPr>
          </w:pPr>
          <w:r>
            <w:rPr>
              <w:rFonts w:hint="eastAsia" w:ascii="仿宋" w:hAnsi="仿宋" w:eastAsia="仿宋" w:cs="仿宋"/>
              <w:b w:val="0"/>
              <w:bCs/>
              <w:kern w:val="2"/>
              <w:sz w:val="32"/>
              <w:szCs w:val="32"/>
              <w:lang w:val="en-US" w:eastAsia="zh-CN" w:bidi="ar-SA"/>
            </w:rPr>
            <w:fldChar w:fldCharType="begin"/>
          </w:r>
          <w:r>
            <w:rPr>
              <w:rFonts w:hint="eastAsia" w:ascii="仿宋" w:hAnsi="仿宋" w:eastAsia="仿宋" w:cs="仿宋"/>
              <w:b w:val="0"/>
              <w:bCs/>
              <w:kern w:val="2"/>
              <w:sz w:val="32"/>
              <w:szCs w:val="32"/>
              <w:lang w:val="en-US" w:eastAsia="zh-CN" w:bidi="ar-SA"/>
            </w:rPr>
            <w:instrText xml:space="preserve">TOC \o "1-3" \h \u </w:instrText>
          </w:r>
          <w:r>
            <w:rPr>
              <w:rFonts w:hint="eastAsia" w:ascii="仿宋" w:hAnsi="仿宋" w:eastAsia="仿宋" w:cs="仿宋"/>
              <w:b w:val="0"/>
              <w:bCs/>
              <w:kern w:val="2"/>
              <w:sz w:val="32"/>
              <w:szCs w:val="32"/>
              <w:lang w:val="en-US" w:eastAsia="zh-CN" w:bidi="ar-SA"/>
            </w:rPr>
            <w:fldChar w:fldCharType="separate"/>
          </w:r>
          <w:r>
            <w:fldChar w:fldCharType="begin"/>
          </w:r>
          <w:r>
            <w:instrText xml:space="preserve"> HYPERLINK \l "_Toc256000054" </w:instrText>
          </w:r>
          <w:r>
            <w:fldChar w:fldCharType="separate"/>
          </w:r>
          <w:r>
            <w:rPr>
              <w:rStyle w:val="21"/>
              <w:rFonts w:ascii="仿宋" w:hAnsi="仿宋" w:eastAsia="仿宋" w:cs="仿宋"/>
            </w:rPr>
            <w:t>第一部分</w:t>
          </w:r>
          <w:r>
            <w:rPr>
              <w:rStyle w:val="21"/>
              <w:rFonts w:ascii="黑体" w:hAnsi="黑体" w:eastAsia="黑体" w:cs="黑体"/>
            </w:rPr>
            <w:t xml:space="preserve"> </w:t>
          </w:r>
          <w:r>
            <w:rPr>
              <w:rStyle w:val="21"/>
              <w:rFonts w:ascii="仿宋" w:hAnsi="仿宋" w:eastAsia="仿宋" w:cs="仿宋"/>
            </w:rPr>
            <w:t>部门概况</w:t>
          </w:r>
          <w:r>
            <w:tab/>
          </w:r>
          <w:r>
            <w:fldChar w:fldCharType="begin"/>
          </w:r>
          <w:r>
            <w:instrText xml:space="preserve"> PAGEREF _Toc256000054 \h </w:instrText>
          </w:r>
          <w:r>
            <w:fldChar w:fldCharType="separate"/>
          </w:r>
          <w:r>
            <w:t>1</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"_Toc256000055" </w:instrText>
          </w:r>
          <w:r>
            <w:fldChar w:fldCharType="separate"/>
          </w:r>
          <w:r>
            <w:rPr>
              <w:rStyle w:val="21"/>
              <w:rFonts w:ascii="仿宋" w:hAnsi="仿宋" w:eastAsia="仿宋" w:cs="仿宋"/>
            </w:rPr>
            <w:t>一、部门主要职责</w:t>
          </w:r>
          <w:r>
            <w:tab/>
          </w:r>
          <w:r>
            <w:fldChar w:fldCharType="begin"/>
          </w:r>
          <w:r>
            <w:instrText xml:space="preserve"> PAGEREF _Toc256000055 \h </w:instrText>
          </w:r>
          <w:r>
            <w:fldChar w:fldCharType="separate"/>
          </w:r>
          <w:r>
            <w:t>2</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"_Toc256000056" </w:instrText>
          </w:r>
          <w:r>
            <w:fldChar w:fldCharType="separate"/>
          </w:r>
          <w:r>
            <w:rPr>
              <w:rStyle w:val="21"/>
              <w:rFonts w:ascii="仿宋" w:hAnsi="仿宋" w:eastAsia="仿宋" w:cs="仿宋"/>
            </w:rPr>
            <w:t>二、部门决算单位基本情况</w:t>
          </w:r>
          <w:r>
            <w:tab/>
          </w:r>
          <w:r>
            <w:fldChar w:fldCharType="begin"/>
          </w:r>
          <w:r>
            <w:instrText xml:space="preserve"> PAGEREF _Toc256000056 \h </w:instrText>
          </w:r>
          <w:r>
            <w:fldChar w:fldCharType="separate"/>
          </w:r>
          <w:r>
            <w:t>2</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"_Toc256000057" </w:instrText>
          </w:r>
          <w:r>
            <w:fldChar w:fldCharType="separate"/>
          </w:r>
          <w:r>
            <w:rPr>
              <w:rStyle w:val="21"/>
              <w:rFonts w:ascii="仿宋" w:hAnsi="仿宋" w:eastAsia="仿宋" w:cs="仿宋"/>
            </w:rPr>
            <w:t>三、部门主要工作总结</w:t>
          </w:r>
          <w:r>
            <w:tab/>
          </w:r>
          <w:r>
            <w:fldChar w:fldCharType="begin"/>
          </w:r>
          <w:r>
            <w:instrText xml:space="preserve"> PAGEREF _Toc256000057 \h </w:instrText>
          </w:r>
          <w:r>
            <w:fldChar w:fldCharType="separate"/>
          </w:r>
          <w:r>
            <w:t>2</w:t>
          </w:r>
          <w:r>
            <w:fldChar w:fldCharType="end"/>
          </w:r>
          <w:r>
            <w:fldChar w:fldCharType="end"/>
          </w:r>
        </w:p>
        <w:p>
          <w:pPr>
            <w:pStyle w:val="17"/>
            <w:tabs>
              <w:tab w:val="right" w:leader="dot" w:pos="9730"/>
            </w:tabs>
            <w:rPr>
              <w:rFonts w:asciiTheme="minorHAnsi" w:hAnsiTheme="minorHAnsi"/>
              <w:sz w:val="22"/>
            </w:rPr>
          </w:pPr>
          <w:r>
            <w:fldChar w:fldCharType="begin"/>
          </w:r>
          <w:r>
            <w:instrText xml:space="preserve"> HYPERLINK \l "_Toc256000058" </w:instrText>
          </w:r>
          <w:r>
            <w:fldChar w:fldCharType="separate"/>
          </w:r>
          <w:r>
            <w:rPr>
              <w:rStyle w:val="21"/>
              <w:rFonts w:ascii="仿宋" w:hAnsi="仿宋" w:eastAsia="仿宋" w:cs="仿宋"/>
            </w:rPr>
            <w:t>第二部分</w:t>
          </w:r>
          <w:r>
            <w:rPr>
              <w:rStyle w:val="21"/>
              <w:rFonts w:ascii="黑体" w:hAnsi="黑体" w:eastAsia="黑体" w:cs="黑体"/>
            </w:rPr>
            <w:t xml:space="preserve"> </w:t>
          </w:r>
          <w:r>
            <w:rPr>
              <w:rStyle w:val="21"/>
              <w:rFonts w:ascii="仿宋" w:hAnsi="仿宋" w:eastAsia="仿宋" w:cs="仿宋"/>
            </w:rPr>
            <w:t>2025年度部门决算表</w:t>
          </w:r>
          <w:r>
            <w:tab/>
          </w:r>
          <w:r>
            <w:fldChar w:fldCharType="begin"/>
          </w:r>
          <w:r>
            <w:instrText xml:space="preserve"> PAGEREF _Toc256000058 \h </w:instrText>
          </w:r>
          <w:r>
            <w:fldChar w:fldCharType="separate"/>
          </w:r>
          <w:r>
            <w:t>3</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"_Toc256000059" </w:instrText>
          </w:r>
          <w:r>
            <w:fldChar w:fldCharType="separate"/>
          </w:r>
          <w:r>
            <w:rPr>
              <w:rStyle w:val="21"/>
              <w:rFonts w:ascii="仿宋" w:hAnsi="仿宋" w:eastAsia="仿宋" w:cs="仿宋"/>
            </w:rPr>
            <w:t>一、收入支出决算总表</w:t>
          </w:r>
          <w:r>
            <w:tab/>
          </w:r>
          <w:r>
            <w:fldChar w:fldCharType="begin"/>
          </w:r>
          <w:r>
            <w:instrText xml:space="preserve"> PAGEREF _Toc256000059 \h </w:instrText>
          </w:r>
          <w:r>
            <w:fldChar w:fldCharType="separate"/>
          </w:r>
          <w:r>
            <w:t>4</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"_Toc256000060" </w:instrText>
          </w:r>
          <w:r>
            <w:fldChar w:fldCharType="separate"/>
          </w:r>
          <w:r>
            <w:rPr>
              <w:rStyle w:val="21"/>
              <w:rFonts w:ascii="仿宋" w:hAnsi="仿宋" w:eastAsia="仿宋" w:cs="仿宋"/>
            </w:rPr>
            <w:t>二、收入决算表</w:t>
          </w:r>
          <w:r>
            <w:tab/>
          </w:r>
          <w:r>
            <w:fldChar w:fldCharType="begin"/>
          </w:r>
          <w:r>
            <w:instrText xml:space="preserve"> PAGEREF _Toc256000060 \h </w:instrText>
          </w:r>
          <w:r>
            <w:fldChar w:fldCharType="separate"/>
          </w:r>
          <w:r>
            <w:t>6</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"_Toc256000061" </w:instrText>
          </w:r>
          <w:r>
            <w:fldChar w:fldCharType="separate"/>
          </w:r>
          <w:r>
            <w:rPr>
              <w:rStyle w:val="21"/>
              <w:rFonts w:ascii="仿宋" w:hAnsi="仿宋" w:eastAsia="仿宋" w:cs="仿宋"/>
            </w:rPr>
            <w:t>三、支出决算表</w:t>
          </w:r>
          <w:r>
            <w:tab/>
          </w:r>
          <w:r>
            <w:fldChar w:fldCharType="begin"/>
          </w:r>
          <w:r>
            <w:instrText xml:space="preserve"> PAGEREF _Toc256000061 \h </w:instrText>
          </w:r>
          <w:r>
            <w:fldChar w:fldCharType="separate"/>
          </w:r>
          <w:r>
            <w:t>10</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"_Toc256000062" </w:instrText>
          </w:r>
          <w:r>
            <w:fldChar w:fldCharType="separate"/>
          </w:r>
          <w:r>
            <w:rPr>
              <w:rStyle w:val="21"/>
              <w:rFonts w:ascii="仿宋" w:hAnsi="仿宋" w:eastAsia="仿宋" w:cs="仿宋"/>
            </w:rPr>
            <w:t>四、财政拨款收入支出决算总表</w:t>
          </w:r>
          <w:r>
            <w:tab/>
          </w:r>
          <w:r>
            <w:fldChar w:fldCharType="begin"/>
          </w:r>
          <w:r>
            <w:instrText xml:space="preserve"> PAGEREF _Toc256000062 \h </w:instrText>
          </w:r>
          <w:r>
            <w:fldChar w:fldCharType="separate"/>
          </w:r>
          <w:r>
            <w:t>13</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"_Toc256000063" </w:instrText>
          </w:r>
          <w:r>
            <w:fldChar w:fldCharType="separate"/>
          </w:r>
          <w:r>
            <w:rPr>
              <w:rStyle w:val="21"/>
              <w:rFonts w:ascii="仿宋" w:hAnsi="仿宋" w:eastAsia="仿宋" w:cs="仿宋"/>
            </w:rPr>
            <w:t>五、一般公共预算财政拨款支出决算表</w:t>
          </w:r>
          <w:r>
            <w:tab/>
          </w:r>
          <w:r>
            <w:fldChar w:fldCharType="begin"/>
          </w:r>
          <w:r>
            <w:instrText xml:space="preserve"> PAGEREF _Toc256000063 \h </w:instrText>
          </w:r>
          <w:r>
            <w:fldChar w:fldCharType="separate"/>
          </w:r>
          <w:r>
            <w:t>16</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"_Toc256000064" </w:instrText>
          </w:r>
          <w:r>
            <w:fldChar w:fldCharType="separate"/>
          </w:r>
          <w:r>
            <w:rPr>
              <w:rStyle w:val="21"/>
              <w:rFonts w:ascii="仿宋" w:hAnsi="仿宋" w:eastAsia="仿宋" w:cs="仿宋"/>
            </w:rPr>
            <w:t>六、一般公共预算财政拨款基本支出决算表</w:t>
          </w:r>
          <w:r>
            <w:tab/>
          </w:r>
          <w:r>
            <w:fldChar w:fldCharType="begin"/>
          </w:r>
          <w:r>
            <w:instrText xml:space="preserve"> PAGEREF _Toc256000064 \h </w:instrText>
          </w:r>
          <w:r>
            <w:fldChar w:fldCharType="separate"/>
          </w:r>
          <w:r>
            <w:t>18</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"_Toc256000065" </w:instrText>
          </w:r>
          <w:r>
            <w:fldChar w:fldCharType="separate"/>
          </w:r>
          <w:r>
            <w:rPr>
              <w:rStyle w:val="21"/>
              <w:rFonts w:ascii="仿宋" w:hAnsi="仿宋" w:eastAsia="仿宋" w:cs="仿宋"/>
            </w:rPr>
            <w:t>七、一般公共预算财政拨款“三公”经费支出决算表</w:t>
          </w:r>
          <w:r>
            <w:tab/>
          </w:r>
          <w:r>
            <w:fldChar w:fldCharType="begin"/>
          </w:r>
          <w:r>
            <w:instrText xml:space="preserve"> PAGEREF _Toc256000065 \h </w:instrText>
          </w:r>
          <w:r>
            <w:fldChar w:fldCharType="separate"/>
          </w:r>
          <w:r>
            <w:t>21</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"_Toc256000066" </w:instrText>
          </w:r>
          <w:r>
            <w:fldChar w:fldCharType="separate"/>
          </w:r>
          <w:r>
            <w:rPr>
              <w:rStyle w:val="21"/>
              <w:rFonts w:ascii="仿宋" w:hAnsi="仿宋" w:eastAsia="仿宋" w:cs="仿宋"/>
            </w:rPr>
            <w:t>八、政府性基金预算财政拨款收入支出决算表</w:t>
          </w:r>
          <w:r>
            <w:tab/>
          </w:r>
          <w:r>
            <w:fldChar w:fldCharType="begin"/>
          </w:r>
          <w:r>
            <w:instrText xml:space="preserve"> PAGEREF _Toc256000066 \h </w:instrText>
          </w:r>
          <w:r>
            <w:fldChar w:fldCharType="separate"/>
          </w:r>
          <w:r>
            <w:t>22</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"_Toc256000067" </w:instrText>
          </w:r>
          <w:r>
            <w:fldChar w:fldCharType="separate"/>
          </w:r>
          <w:r>
            <w:rPr>
              <w:rStyle w:val="21"/>
              <w:rFonts w:ascii="仿宋" w:hAnsi="仿宋" w:eastAsia="仿宋" w:cs="仿宋"/>
            </w:rPr>
            <w:t>九、国有资本经营预算财政拨款支出决算表</w:t>
          </w:r>
          <w:r>
            <w:tab/>
          </w:r>
          <w:r>
            <w:fldChar w:fldCharType="begin"/>
          </w:r>
          <w:r>
            <w:instrText xml:space="preserve"> PAGEREF _Toc256000067 \h </w:instrText>
          </w:r>
          <w:r>
            <w:fldChar w:fldCharType="separate"/>
          </w:r>
          <w:r>
            <w:t>23</w:t>
          </w:r>
          <w:r>
            <w:fldChar w:fldCharType="end"/>
          </w:r>
          <w:r>
            <w:fldChar w:fldCharType="end"/>
          </w:r>
        </w:p>
        <w:p>
          <w:pPr>
            <w:pStyle w:val="17"/>
            <w:tabs>
              <w:tab w:val="right" w:leader="dot" w:pos="9730"/>
            </w:tabs>
            <w:rPr>
              <w:rFonts w:asciiTheme="minorHAnsi" w:hAnsiTheme="minorHAnsi"/>
              <w:sz w:val="22"/>
            </w:rPr>
          </w:pPr>
          <w:r>
            <w:fldChar w:fldCharType="begin"/>
          </w:r>
          <w:r>
            <w:instrText xml:space="preserve"> HYPERLINK \l "_Toc256000068" </w:instrText>
          </w:r>
          <w:r>
            <w:fldChar w:fldCharType="separate"/>
          </w:r>
          <w:r>
            <w:rPr>
              <w:rStyle w:val="21"/>
              <w:rFonts w:ascii="仿宋" w:hAnsi="仿宋" w:eastAsia="仿宋" w:cs="仿宋"/>
            </w:rPr>
            <w:t>第三部分</w:t>
          </w:r>
          <w:r>
            <w:rPr>
              <w:rStyle w:val="21"/>
              <w:rFonts w:ascii="黑体" w:hAnsi="黑体" w:eastAsia="黑体" w:cs="黑体"/>
            </w:rPr>
            <w:t xml:space="preserve"> </w:t>
          </w:r>
          <w:r>
            <w:rPr>
              <w:rStyle w:val="21"/>
              <w:rFonts w:ascii="仿宋" w:hAnsi="仿宋" w:eastAsia="仿宋" w:cs="仿宋"/>
            </w:rPr>
            <w:t>2025年度部门决算情况说明</w:t>
          </w:r>
          <w:r>
            <w:tab/>
          </w:r>
          <w:r>
            <w:fldChar w:fldCharType="begin"/>
          </w:r>
          <w:r>
            <w:instrText xml:space="preserve"> PAGEREF _Toc256000068 \h </w:instrText>
          </w:r>
          <w:r>
            <w:fldChar w:fldCharType="separate"/>
          </w:r>
          <w:r>
            <w:t>24</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"_Toc256000069" </w:instrText>
          </w:r>
          <w:r>
            <w:fldChar w:fldCharType="separate"/>
          </w:r>
          <w:r>
            <w:rPr>
              <w:rStyle w:val="21"/>
              <w:rFonts w:ascii="仿宋" w:hAnsi="仿宋" w:eastAsia="仿宋" w:cs="仿宋"/>
            </w:rPr>
            <w:t>一、收入支出决算总体情况说明</w:t>
          </w:r>
          <w:r>
            <w:tab/>
          </w:r>
          <w:r>
            <w:fldChar w:fldCharType="begin"/>
          </w:r>
          <w:r>
            <w:instrText xml:space="preserve"> PAGEREF _Toc256000069 \h </w:instrText>
          </w:r>
          <w:r>
            <w:fldChar w:fldCharType="separate"/>
          </w:r>
          <w:r>
            <w:t>25</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"_Toc256000070" </w:instrText>
          </w:r>
          <w:r>
            <w:fldChar w:fldCharType="separate"/>
          </w:r>
          <w:r>
            <w:rPr>
              <w:rStyle w:val="21"/>
              <w:rFonts w:ascii="仿宋" w:hAnsi="仿宋" w:eastAsia="仿宋" w:cs="仿宋"/>
            </w:rPr>
            <w:t>二、财政拨款收入支出决算总体情况说明</w:t>
          </w:r>
          <w:r>
            <w:tab/>
          </w:r>
          <w:r>
            <w:fldChar w:fldCharType="begin"/>
          </w:r>
          <w:r>
            <w:instrText xml:space="preserve"> PAGEREF _Toc256000070 \h </w:instrText>
          </w:r>
          <w:r>
            <w:fldChar w:fldCharType="separate"/>
          </w:r>
          <w:r>
            <w:t>26</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"_Toc256000071" </w:instrText>
          </w:r>
          <w:r>
            <w:fldChar w:fldCharType="separate"/>
          </w:r>
          <w:r>
            <w:rPr>
              <w:rStyle w:val="21"/>
              <w:rFonts w:ascii="仿宋" w:hAnsi="仿宋" w:eastAsia="仿宋" w:cs="仿宋"/>
            </w:rPr>
            <w:t>三、一般公共预算财政拨款支出决算情况说明</w:t>
          </w:r>
          <w:r>
            <w:tab/>
          </w:r>
          <w:r>
            <w:fldChar w:fldCharType="begin"/>
          </w:r>
          <w:r>
            <w:instrText xml:space="preserve"> PAGEREF _Toc256000071 \h </w:instrText>
          </w:r>
          <w:r>
            <w:fldChar w:fldCharType="separate"/>
          </w:r>
          <w:r>
            <w:t>26</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"_Toc256000072" </w:instrText>
          </w:r>
          <w:r>
            <w:fldChar w:fldCharType="separate"/>
          </w:r>
          <w:r>
            <w:rPr>
              <w:rStyle w:val="21"/>
              <w:rFonts w:ascii="仿宋" w:hAnsi="仿宋" w:eastAsia="仿宋" w:cs="仿宋"/>
            </w:rPr>
            <w:t>四、政府性基金预算财政拨款支出决算情况说明</w:t>
          </w:r>
          <w:r>
            <w:tab/>
          </w:r>
          <w:r>
            <w:fldChar w:fldCharType="begin"/>
          </w:r>
          <w:r>
            <w:instrText xml:space="preserve"> PAGEREF _Toc256000072 \h </w:instrText>
          </w:r>
          <w:r>
            <w:fldChar w:fldCharType="separate"/>
          </w:r>
          <w:r>
            <w:t>27</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"_Toc256000073" </w:instrText>
          </w:r>
          <w:r>
            <w:fldChar w:fldCharType="separate"/>
          </w:r>
          <w:r>
            <w:rPr>
              <w:rStyle w:val="21"/>
              <w:rFonts w:ascii="仿宋" w:hAnsi="仿宋" w:eastAsia="仿宋" w:cs="仿宋"/>
            </w:rPr>
            <w:t>五、国有资本经营预算财政拨款支出决算情况说明</w:t>
          </w:r>
          <w:r>
            <w:tab/>
          </w:r>
          <w:r>
            <w:fldChar w:fldCharType="begin"/>
          </w:r>
          <w:r>
            <w:instrText xml:space="preserve"> PAGEREF _Toc256000073 \h </w:instrText>
          </w:r>
          <w:r>
            <w:fldChar w:fldCharType="separate"/>
          </w:r>
          <w:r>
            <w:t>28</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"_Toc256000074" </w:instrText>
          </w:r>
          <w:r>
            <w:fldChar w:fldCharType="separate"/>
          </w:r>
          <w:r>
            <w:rPr>
              <w:rStyle w:val="21"/>
              <w:rFonts w:ascii="仿宋" w:hAnsi="仿宋" w:eastAsia="仿宋" w:cs="仿宋"/>
            </w:rPr>
            <w:t>六、一般公共预算财政拨款基本支出决算情况说明</w:t>
          </w:r>
          <w:r>
            <w:tab/>
          </w:r>
          <w:r>
            <w:fldChar w:fldCharType="begin"/>
          </w:r>
          <w:r>
            <w:instrText xml:space="preserve"> PAGEREF _Toc256000074 \h </w:instrText>
          </w:r>
          <w:r>
            <w:fldChar w:fldCharType="separate"/>
          </w:r>
          <w:r>
            <w:t>28</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"_Toc256000075" </w:instrText>
          </w:r>
          <w:r>
            <w:fldChar w:fldCharType="separate"/>
          </w:r>
          <w:r>
            <w:rPr>
              <w:rStyle w:val="21"/>
              <w:rFonts w:ascii="仿宋" w:hAnsi="仿宋" w:eastAsia="仿宋" w:cs="仿宋"/>
            </w:rPr>
            <w:t>七、一般公共预算财政拨款“三公”经费支出决算情况说明</w:t>
          </w:r>
          <w:r>
            <w:tab/>
          </w:r>
          <w:r>
            <w:fldChar w:fldCharType="begin"/>
          </w:r>
          <w:r>
            <w:instrText xml:space="preserve"> PAGEREF _Toc256000075 \h </w:instrText>
          </w:r>
          <w:r>
            <w:fldChar w:fldCharType="separate"/>
          </w:r>
          <w:r>
            <w:t>28</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"_Toc256000076" </w:instrText>
          </w:r>
          <w:r>
            <w:fldChar w:fldCharType="separate"/>
          </w:r>
          <w:r>
            <w:rPr>
              <w:rStyle w:val="21"/>
              <w:rFonts w:ascii="仿宋" w:hAnsi="仿宋" w:eastAsia="仿宋" w:cs="仿宋"/>
            </w:rPr>
            <w:t>八、预算绩效情况说明</w:t>
          </w:r>
          <w:r>
            <w:tab/>
          </w:r>
          <w:r>
            <w:fldChar w:fldCharType="begin"/>
          </w:r>
          <w:r>
            <w:instrText xml:space="preserve"> PAGEREF _Toc256000076 \h </w:instrText>
          </w:r>
          <w:r>
            <w:fldChar w:fldCharType="separate"/>
          </w:r>
          <w:r>
            <w:t>29</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"_Toc256000077" </w:instrText>
          </w:r>
          <w:r>
            <w:fldChar w:fldCharType="separate"/>
          </w:r>
          <w:r>
            <w:rPr>
              <w:rStyle w:val="21"/>
              <w:rFonts w:ascii="仿宋" w:hAnsi="仿宋" w:eastAsia="仿宋" w:cs="仿宋"/>
            </w:rPr>
            <w:t>九、其他重要事项说明</w:t>
          </w:r>
          <w:r>
            <w:tab/>
          </w:r>
          <w:r>
            <w:fldChar w:fldCharType="begin"/>
          </w:r>
          <w:r>
            <w:instrText xml:space="preserve"> PAGEREF _Toc256000077 \h </w:instrText>
          </w:r>
          <w:r>
            <w:fldChar w:fldCharType="separate"/>
          </w:r>
          <w:r>
            <w:t>29</w:t>
          </w:r>
          <w:r>
            <w:fldChar w:fldCharType="end"/>
          </w:r>
          <w:r>
            <w:fldChar w:fldCharType="end"/>
          </w:r>
        </w:p>
        <w:p>
          <w:pPr>
            <w:pStyle w:val="17"/>
            <w:tabs>
              <w:tab w:val="right" w:leader="dot" w:pos="9730"/>
            </w:tabs>
            <w:rPr>
              <w:rFonts w:asciiTheme="minorHAnsi" w:hAnsiTheme="minorHAnsi"/>
              <w:sz w:val="22"/>
            </w:rPr>
          </w:pPr>
          <w:r>
            <w:fldChar w:fldCharType="begin"/>
          </w:r>
          <w:r>
            <w:instrText xml:space="preserve"> HYPERLINK \l "_Toc256000079" </w:instrText>
          </w:r>
          <w:r>
            <w:fldChar w:fldCharType="separate"/>
          </w:r>
          <w:r>
            <w:rPr>
              <w:rStyle w:val="21"/>
              <w:rFonts w:ascii="仿宋" w:hAnsi="仿宋" w:eastAsia="仿宋" w:cs="仿宋"/>
            </w:rPr>
            <w:t>第四部分</w:t>
          </w:r>
          <w:r>
            <w:rPr>
              <w:rStyle w:val="21"/>
              <w:rFonts w:ascii="黑体" w:hAnsi="黑体" w:eastAsia="黑体" w:cs="黑体"/>
            </w:rPr>
            <w:t xml:space="preserve"> </w:t>
          </w:r>
          <w:r>
            <w:rPr>
              <w:rStyle w:val="21"/>
              <w:rFonts w:ascii="仿宋" w:hAnsi="仿宋" w:eastAsia="仿宋" w:cs="仿宋"/>
            </w:rPr>
            <w:t>名词解释</w:t>
          </w:r>
          <w:r>
            <w:tab/>
          </w:r>
          <w:r>
            <w:fldChar w:fldCharType="begin"/>
          </w:r>
          <w:r>
            <w:instrText xml:space="preserve"> PAGEREF _Toc256000079 \h </w:instrText>
          </w:r>
          <w:r>
            <w:fldChar w:fldCharType="separate"/>
          </w:r>
          <w:r>
            <w:t>31</w:t>
          </w:r>
          <w:r>
            <w:fldChar w:fldCharType="end"/>
          </w:r>
          <w:r>
            <w:fldChar w:fldCharType="end"/>
          </w:r>
        </w:p>
        <w:p>
          <w:pPr>
            <w:pStyle w:val="17"/>
            <w:tabs>
              <w:tab w:val="right" w:leader="dot" w:pos="9730"/>
            </w:tabs>
            <w:rPr>
              <w:rFonts w:asciiTheme="minorHAnsi" w:hAnsiTheme="minorHAnsi"/>
              <w:sz w:val="22"/>
            </w:rPr>
          </w:pPr>
          <w:r>
            <w:fldChar w:fldCharType="begin"/>
          </w:r>
          <w:r>
            <w:instrText xml:space="preserve"> HYPERLINK \l "_Toc256000080" </w:instrText>
          </w:r>
          <w:r>
            <w:fldChar w:fldCharType="separate"/>
          </w:r>
          <w:r>
            <w:rPr>
              <w:rStyle w:val="21"/>
              <w:rFonts w:ascii="仿宋" w:hAnsi="仿宋" w:eastAsia="仿宋" w:cs="仿宋"/>
            </w:rPr>
            <w:t>第五部分</w:t>
          </w:r>
          <w:r>
            <w:rPr>
              <w:rStyle w:val="21"/>
              <w:rFonts w:ascii="黑体" w:hAnsi="黑体" w:eastAsia="黑体" w:cs="黑体"/>
            </w:rPr>
            <w:t xml:space="preserve"> </w:t>
          </w:r>
          <w:r>
            <w:rPr>
              <w:rStyle w:val="21"/>
              <w:rFonts w:ascii="仿宋" w:hAnsi="仿宋" w:eastAsia="仿宋" w:cs="仿宋"/>
            </w:rPr>
            <w:t>附件</w:t>
          </w:r>
          <w:r>
            <w:tab/>
          </w:r>
          <w:r>
            <w:fldChar w:fldCharType="begin"/>
          </w:r>
          <w:r>
            <w:instrText xml:space="preserve"> PAGEREF _Toc256000080 \h </w:instrText>
          </w:r>
          <w:r>
            <w:fldChar w:fldCharType="separate"/>
          </w:r>
          <w:r>
            <w:t>34</w:t>
          </w:r>
          <w:r>
            <w:fldChar w:fldCharType="end"/>
          </w:r>
          <w:r>
            <w:fldChar w:fldCharType="end"/>
          </w:r>
        </w:p>
        <w:p>
          <w:pPr>
            <w:adjustRightInd w:val="0"/>
            <w:snapToGrid w:val="0"/>
            <w:rPr>
              <w:rFonts w:ascii="宋体" w:hAnsi="宋体"/>
              <w:b/>
              <w:sz w:val="32"/>
              <w:szCs w:val="32"/>
            </w:rPr>
            <w:sectPr>
              <w:footerReference r:id="rId5" w:type="default"/>
              <w:pgSz w:w="11906" w:h="16838"/>
              <w:pgMar w:top="1440" w:right="1083" w:bottom="1440" w:left="1083" w:header="0" w:footer="720" w:gutter="0"/>
              <w:pgNumType w:start="1"/>
              <w:cols w:space="0" w:num="1"/>
              <w:rtlGutter w:val="0"/>
              <w:docGrid w:type="lines" w:linePitch="317" w:charSpace="0"/>
            </w:sectPr>
          </w:pPr>
          <w:r>
            <w:rPr>
              <w:rFonts w:hint="eastAsia" w:ascii="仿宋" w:hAnsi="仿宋" w:eastAsia="仿宋" w:cs="仿宋"/>
              <w:b w:val="0"/>
              <w:bCs/>
              <w:kern w:val="2"/>
              <w:sz w:val="32"/>
              <w:szCs w:val="32"/>
              <w:lang w:val="en-US" w:eastAsia="zh-CN" w:bidi="ar-SA"/>
            </w:rPr>
            <w:fldChar w:fldCharType="end"/>
          </w:r>
        </w:p>
      </w:sdtContent>
    </w:sdt>
    <w:p>
      <w:pPr>
        <w:pStyle w:val="28"/>
        <w:widowControl/>
        <w:spacing w:before="100" w:after="100"/>
        <w:ind w:left="100" w:right="100" w:firstLine="0"/>
        <w:jc w:val="left"/>
        <w:rPr>
          <w:rFonts w:ascii="Times New Roman" w:hAnsi="Times New Roman" w:eastAsia="Times New Roman" w:cs="Times New Roman"/>
          <w:kern w:val="0"/>
          <w:sz w:val="24"/>
        </w:rPr>
      </w:pPr>
      <w:bookmarkStart w:id="0" w:name="a000"/>
    </w:p>
    <w:p>
      <w:pPr>
        <w:pStyle w:val="28"/>
        <w:widowControl/>
        <w:spacing w:before="100" w:after="100"/>
        <w:ind w:left="100" w:right="100" w:firstLine="0"/>
        <w:jc w:val="left"/>
        <w:rPr>
          <w:rFonts w:ascii="Times New Roman" w:hAnsi="Times New Roman" w:eastAsia="Times New Roman" w:cs="Times New Roman"/>
          <w:kern w:val="0"/>
          <w:sz w:val="24"/>
        </w:rPr>
      </w:pPr>
      <w:r>
        <w:rPr>
          <w:rFonts w:ascii="仿宋" w:hAnsi="仿宋" w:eastAsia="仿宋" w:cs="仿宋"/>
          <w:spacing w:val="0"/>
          <w:kern w:val="0"/>
          <w:sz w:val="32"/>
          <w:szCs w:val="32"/>
        </w:rPr>
        <w:t> </w:t>
      </w:r>
    </w:p>
    <w:p>
      <w:pPr>
        <w:pStyle w:val="28"/>
        <w:widowControl/>
        <w:spacing w:before="100" w:after="100"/>
        <w:ind w:left="100" w:right="100" w:firstLine="0"/>
        <w:jc w:val="left"/>
        <w:rPr>
          <w:rFonts w:ascii="Times New Roman" w:hAnsi="Times New Roman" w:eastAsia="Times New Roman" w:cs="Times New Roman"/>
          <w:kern w:val="0"/>
          <w:sz w:val="24"/>
        </w:rPr>
      </w:pPr>
      <w:r>
        <w:rPr>
          <w:rFonts w:ascii="仿宋" w:hAnsi="仿宋" w:eastAsia="仿宋" w:cs="仿宋"/>
          <w:spacing w:val="0"/>
          <w:kern w:val="0"/>
          <w:sz w:val="32"/>
          <w:szCs w:val="32"/>
        </w:rPr>
        <w:t> </w:t>
      </w:r>
    </w:p>
    <w:p>
      <w:pPr>
        <w:pStyle w:val="28"/>
        <w:widowControl/>
        <w:spacing w:before="100" w:after="100"/>
        <w:ind w:left="100" w:right="100" w:firstLine="0"/>
        <w:jc w:val="left"/>
        <w:rPr>
          <w:rFonts w:ascii="Times New Roman" w:hAnsi="Times New Roman" w:eastAsia="Times New Roman" w:cs="Times New Roman"/>
          <w:kern w:val="0"/>
          <w:sz w:val="24"/>
        </w:rPr>
      </w:pPr>
      <w:r>
        <w:rPr>
          <w:rFonts w:ascii="仿宋" w:hAnsi="仿宋" w:eastAsia="仿宋" w:cs="仿宋"/>
          <w:spacing w:val="0"/>
          <w:kern w:val="0"/>
          <w:sz w:val="32"/>
          <w:szCs w:val="32"/>
        </w:rPr>
        <w:t> </w:t>
      </w:r>
    </w:p>
    <w:p>
      <w:pPr>
        <w:pStyle w:val="28"/>
        <w:widowControl/>
        <w:spacing w:before="100" w:after="100"/>
        <w:ind w:left="100" w:right="100" w:firstLine="0"/>
        <w:jc w:val="left"/>
        <w:rPr>
          <w:rFonts w:ascii="Times New Roman" w:hAnsi="Times New Roman" w:eastAsia="Times New Roman" w:cs="Times New Roman"/>
          <w:kern w:val="0"/>
          <w:sz w:val="24"/>
        </w:rPr>
      </w:pPr>
    </w:p>
    <w:p>
      <w:pPr>
        <w:pStyle w:val="28"/>
        <w:widowControl/>
        <w:spacing w:before="100" w:after="100"/>
        <w:ind w:left="100" w:right="100" w:firstLine="0"/>
        <w:jc w:val="left"/>
        <w:rPr>
          <w:rFonts w:ascii="Times New Roman" w:hAnsi="Times New Roman" w:eastAsia="Times New Roman" w:cs="Times New Roman"/>
          <w:kern w:val="0"/>
          <w:sz w:val="24"/>
        </w:rPr>
      </w:pPr>
    </w:p>
    <w:p>
      <w:pPr>
        <w:pStyle w:val="28"/>
        <w:widowControl/>
        <w:spacing w:before="100" w:after="100"/>
        <w:ind w:left="100" w:right="100" w:firstLine="0"/>
        <w:jc w:val="left"/>
        <w:rPr>
          <w:rFonts w:ascii="Times New Roman" w:hAnsi="Times New Roman" w:eastAsia="Times New Roman" w:cs="Times New Roman"/>
          <w:kern w:val="0"/>
          <w:sz w:val="24"/>
        </w:rPr>
      </w:pPr>
    </w:p>
    <w:p>
      <w:pPr>
        <w:pStyle w:val="28"/>
        <w:widowControl/>
        <w:spacing w:before="10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 w:name="_Toc256000054"/>
      <w:r>
        <w:rPr>
          <w:rFonts w:ascii="黑体" w:hAnsi="黑体" w:eastAsia="黑体" w:cs="黑体"/>
          <w:b w:val="0"/>
          <w:bCs w:val="0"/>
          <w:spacing w:val="0"/>
          <w:sz w:val="56"/>
          <w:szCs w:val="56"/>
        </w:rPr>
        <w:t>第一部分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部门概况</w:t>
      </w:r>
      <w:bookmarkEnd w:id="1"/>
    </w:p>
    <w:p>
      <w:pPr>
        <w:pStyle w:val="28"/>
        <w:widowControl/>
        <w:spacing w:before="100" w:after="100"/>
        <w:ind w:left="100" w:right="100" w:firstLine="0"/>
        <w:jc w:val="center"/>
        <w:rPr>
          <w:rFonts w:ascii="Times New Roman" w:hAnsi="Times New Roman" w:eastAsia="Times New Roman" w:cs="Times New Roman"/>
          <w:kern w:val="0"/>
          <w:sz w:val="24"/>
        </w:rPr>
      </w:pPr>
    </w:p>
    <w:p>
      <w:pPr>
        <w:sectPr>
          <w:footerReference r:id="rId6" w:type="default"/>
          <w:pgSz w:w="11906" w:h="16838"/>
          <w:pgMar w:top="1440" w:right="720" w:bottom="1440" w:left="720" w:header="720" w:footer="720" w:gutter="0"/>
          <w:pgNumType w:start="1"/>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 w:name="_Toc256000055"/>
      <w:r>
        <w:rPr>
          <w:rFonts w:ascii="黑体" w:hAnsi="黑体" w:eastAsia="黑体" w:cs="黑体"/>
          <w:b w:val="0"/>
          <w:bCs w:val="0"/>
          <w:spacing w:val="0"/>
        </w:rPr>
        <w:t>一、部门主要职责</w:t>
      </w:r>
      <w:bookmarkEnd w:id="2"/>
    </w:p>
    <w:p>
      <w:pPr>
        <w:pStyle w:val="28"/>
        <w:widowControl/>
        <w:spacing w:before="100" w:after="100" w:line="560" w:lineRule="atLeast"/>
        <w:ind w:left="100" w:right="100" w:firstLine="640"/>
        <w:jc w:val="left"/>
        <w:rPr>
          <w:rFonts w:ascii="FangSong_GB2312" w:hAnsi="FangSong_GB2312" w:eastAsia="FangSong_GB2312" w:cs="FangSong_GB2312"/>
          <w:spacing w:val="0"/>
          <w:kern w:val="0"/>
          <w:sz w:val="32"/>
          <w:szCs w:val="32"/>
        </w:rPr>
      </w:pPr>
      <w:r>
        <w:rPr>
          <w:rFonts w:ascii="FangSong_GB2312" w:hAnsi="FangSong_GB2312" w:eastAsia="FangSong_GB2312" w:cs="FangSong_GB2312"/>
          <w:spacing w:val="0"/>
          <w:kern w:val="0"/>
          <w:sz w:val="32"/>
          <w:szCs w:val="32"/>
        </w:rPr>
        <w:t>中共闽清县委宣传部部门的主要职责是：</w:t>
      </w:r>
    </w:p>
    <w:p>
      <w:pPr>
        <w:pStyle w:val="28"/>
        <w:widowControl/>
        <w:spacing w:before="100" w:after="100" w:line="560" w:lineRule="atLeast"/>
        <w:ind w:left="100" w:right="100" w:firstLine="640"/>
        <w:jc w:val="left"/>
        <w:rPr>
          <w:rFonts w:ascii="FangSong_GB2312" w:hAnsi="FangSong_GB2312" w:eastAsia="FangSong_GB2312" w:cs="FangSong_GB2312"/>
          <w:spacing w:val="0"/>
          <w:kern w:val="0"/>
          <w:sz w:val="32"/>
          <w:szCs w:val="32"/>
        </w:rPr>
      </w:pPr>
      <w:r>
        <w:rPr>
          <w:rFonts w:ascii="FangSong_GB2312" w:hAnsi="FangSong_GB2312" w:eastAsia="FangSong_GB2312" w:cs="FangSong_GB2312"/>
          <w:spacing w:val="0"/>
          <w:kern w:val="0"/>
          <w:sz w:val="32"/>
          <w:szCs w:val="32"/>
        </w:rPr>
        <w:t>中共闽清县委宣传部（本级）单位的主要职责是：</w:t>
      </w:r>
    </w:p>
    <w:p>
      <w:pPr>
        <w:keepNext w:val="0"/>
        <w:keepLines w:val="0"/>
        <w:widowControl w:val="0"/>
        <w:suppressLineNumbers w:val="0"/>
        <w:autoSpaceDE w:val="0"/>
        <w:autoSpaceDN/>
        <w:adjustRightInd w:val="0"/>
        <w:spacing w:before="0" w:beforeAutospacing="0" w:after="0" w:afterAutospacing="0" w:line="600" w:lineRule="exact"/>
        <w:ind w:left="0" w:right="0" w:firstLine="640"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（一）贯彻执行党的宣传思想文化工作方针、政策，拟订全县宣传思想文化工作规划，统筹协调推进全县宣传思想文化领域重大工作，协调宣传思想文化系统各部门之间的工作。</w:t>
      </w:r>
      <w:r>
        <w:rPr>
          <w:rFonts w:hint="default" w:ascii="仿宋_GB2312" w:hAnsi="仿宋_GB2312" w:eastAsia="仿宋_GB2312" w:cs="仿宋_GB2312"/>
          <w:b w:val="0"/>
          <w:bCs w:val="0"/>
          <w:kern w:val="2"/>
          <w:sz w:val="32"/>
          <w:szCs w:val="32"/>
          <w:lang w:val="en-US" w:eastAsia="zh-CN" w:bidi="ar-SA"/>
        </w:rPr>
        <w:t xml:space="preserve"> </w:t>
      </w:r>
    </w:p>
    <w:p>
      <w:pPr>
        <w:keepNext w:val="0"/>
        <w:keepLines w:val="0"/>
        <w:widowControl w:val="0"/>
        <w:suppressLineNumbers w:val="0"/>
        <w:autoSpaceDE w:val="0"/>
        <w:autoSpaceDN/>
        <w:adjustRightInd w:val="0"/>
        <w:spacing w:before="0" w:beforeAutospacing="0" w:after="0" w:afterAutospacing="0" w:line="600" w:lineRule="exact"/>
        <w:ind w:left="0" w:right="0" w:firstLine="640"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（二）统筹协调党的意识形态工作，统筹指导协调全县理论研究、理论学习、理论宣传工作。负责组织我县全局性思想政治工作，配合做好党员教育工作。</w:t>
      </w:r>
    </w:p>
    <w:p>
      <w:pPr>
        <w:keepNext w:val="0"/>
        <w:keepLines w:val="0"/>
        <w:widowControl w:val="0"/>
        <w:suppressLineNumbers w:val="0"/>
        <w:autoSpaceDE w:val="0"/>
        <w:autoSpaceDN/>
        <w:adjustRightInd w:val="0"/>
        <w:spacing w:before="0" w:beforeAutospacing="0" w:after="0" w:afterAutospacing="0" w:line="600" w:lineRule="exact"/>
        <w:ind w:left="0" w:right="0" w:firstLine="640"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（三）统筹分析研判和引导社会舆论，组织全县突发公共事件应急新闻工作。贯彻执行国家、省、市有关新闻出版业的方针政策和法律法规；负责管理全县新闻出版行政事务，组织协调有关行政审批工作。</w:t>
      </w:r>
    </w:p>
    <w:p>
      <w:pPr>
        <w:keepNext w:val="0"/>
        <w:keepLines w:val="0"/>
        <w:widowControl w:val="0"/>
        <w:suppressLineNumbers w:val="0"/>
        <w:autoSpaceDE w:val="0"/>
        <w:autoSpaceDN/>
        <w:adjustRightInd w:val="0"/>
        <w:spacing w:before="0" w:beforeAutospacing="0" w:after="0" w:afterAutospacing="0" w:line="600" w:lineRule="exact"/>
        <w:ind w:left="0" w:right="0" w:firstLine="640"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（四）统筹指导协调全县互联网宣传和信息内容管理工作以及数字新媒体的建设与管理工作。从宏观上统筹指导协调推动精神文化产品的创作和生产，研究和规划我县文化艺术发展工作。</w:t>
      </w:r>
    </w:p>
    <w:p>
      <w:pPr>
        <w:keepNext w:val="0"/>
        <w:keepLines w:val="0"/>
        <w:widowControl w:val="0"/>
        <w:suppressLineNumbers w:val="0"/>
        <w:autoSpaceDE w:val="0"/>
        <w:autoSpaceDN/>
        <w:adjustRightInd w:val="0"/>
        <w:spacing w:before="0" w:beforeAutospacing="0" w:after="0" w:afterAutospacing="0" w:line="600" w:lineRule="exact"/>
        <w:ind w:left="0" w:right="0" w:firstLine="640"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（五）负责管理电影行政事务和组织实施相关政策，推动电影事业、产业发展，指导监管电影制片、发行、放映工作。统筹指导协调全县文化体制改革和文化事业、文化产业及旅游业发展。</w:t>
      </w:r>
    </w:p>
    <w:p>
      <w:pPr>
        <w:keepNext w:val="0"/>
        <w:keepLines w:val="0"/>
        <w:widowControl w:val="0"/>
        <w:suppressLineNumbers w:val="0"/>
        <w:autoSpaceDE w:val="0"/>
        <w:autoSpaceDN/>
        <w:adjustRightInd w:val="0"/>
        <w:spacing w:before="0" w:beforeAutospacing="0" w:after="0" w:afterAutospacing="0" w:line="600" w:lineRule="exact"/>
        <w:ind w:left="0" w:right="0" w:firstLine="640"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（六）统筹协调对外宣传工作，统筹协调组织开展新闻发布工作。</w:t>
      </w:r>
    </w:p>
    <w:p>
      <w:pPr>
        <w:keepNext w:val="0"/>
        <w:keepLines w:val="0"/>
        <w:widowControl w:val="0"/>
        <w:suppressLineNumbers w:val="0"/>
        <w:autoSpaceDE w:val="0"/>
        <w:autoSpaceDN/>
        <w:adjustRightInd w:val="0"/>
        <w:spacing w:before="0" w:beforeAutospacing="0" w:after="0" w:afterAutospacing="0" w:line="600" w:lineRule="exact"/>
        <w:ind w:left="0" w:right="0" w:firstLine="640"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（七）贯彻执行中央和省、市关于网络安全和信息化工作的方针、政策，承担县委网络安全和信息化委员会办公室日常工作。</w:t>
      </w:r>
    </w:p>
    <w:p>
      <w:pPr>
        <w:pStyle w:val="28"/>
        <w:widowControl/>
        <w:spacing w:before="100" w:after="100" w:line="560" w:lineRule="atLeast"/>
        <w:ind w:left="100" w:right="100" w:firstLine="640"/>
        <w:jc w:val="left"/>
        <w:rPr>
          <w:rFonts w:hint="eastAsia" w:ascii="FangSong_GB2312" w:hAnsi="FangSong_GB2312" w:eastAsia="FangSong_GB2312" w:cs="FangSong_GB2312"/>
          <w:spacing w:val="0"/>
          <w:kern w:val="0"/>
          <w:sz w:val="32"/>
          <w:szCs w:val="32"/>
          <w:lang w:val="en-US" w:eastAsia="zh-CN"/>
        </w:rPr>
      </w:pPr>
      <w:r>
        <w:rPr>
          <w:rFonts w:hint="eastAsia" w:ascii="FangSong_GB2312" w:hAnsi="FangSong_GB2312" w:eastAsia="FangSong_GB2312" w:cs="FangSong_GB2312"/>
          <w:spacing w:val="0"/>
          <w:kern w:val="0"/>
          <w:sz w:val="32"/>
          <w:szCs w:val="32"/>
          <w:lang w:val="en-US" w:eastAsia="zh-CN"/>
        </w:rPr>
        <w:t>(八）负责组织本地区的社会科学普及活动及学术交流活动。</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3" w:name="_Toc256000056"/>
      <w:r>
        <w:rPr>
          <w:rFonts w:ascii="黑体" w:hAnsi="黑体" w:eastAsia="黑体" w:cs="黑体"/>
          <w:b w:val="0"/>
          <w:bCs w:val="0"/>
          <w:spacing w:val="0"/>
        </w:rPr>
        <w:t>二、部门决算单位基本情况</w:t>
      </w:r>
      <w:bookmarkEnd w:id="3"/>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从决算单位构成看，中共闽清县委宣传部部门包括</w:t>
      </w:r>
      <w:r>
        <w:rPr>
          <w:rFonts w:hint="eastAsia" w:ascii="FangSong_GB2312" w:hAnsi="FangSong_GB2312" w:eastAsia="FangSong_GB2312" w:cs="FangSong_GB2312"/>
          <w:spacing w:val="0"/>
          <w:kern w:val="0"/>
          <w:sz w:val="32"/>
          <w:szCs w:val="32"/>
          <w:lang w:val="en-US" w:eastAsia="zh-CN"/>
        </w:rPr>
        <w:t>6</w:t>
      </w:r>
      <w:r>
        <w:rPr>
          <w:rFonts w:ascii="FangSong_GB2312" w:hAnsi="FangSong_GB2312" w:eastAsia="FangSong_GB2312" w:cs="FangSong_GB2312"/>
          <w:spacing w:val="0"/>
          <w:kern w:val="0"/>
          <w:sz w:val="32"/>
          <w:szCs w:val="32"/>
        </w:rPr>
        <w:t>个机关行政处室及1个下属单位，其中：列入2025年部门决算编制范围的单位详细情况见下表:</w:t>
      </w:r>
    </w:p>
    <w:tbl>
      <w:tblPr>
        <w:tblStyle w:val="22"/>
        <w:tblW w:w="10510" w:type="dxa"/>
        <w:tblInd w:w="1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558"/>
        <w:gridCol w:w="8952"/>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Ex>
        <w:trPr>
          <w:cantSplit/>
          <w:tblHeader/>
        </w:trPr>
        <w:tc>
          <w:tcPr>
            <w:tcW w:w="1558"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序号</w:t>
            </w:r>
          </w:p>
        </w:tc>
        <w:tc>
          <w:tcPr>
            <w:tcW w:w="8952"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单位名称</w:t>
            </w:r>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Ex>
        <w:trPr>
          <w:cantSplit/>
        </w:trPr>
        <w:tc>
          <w:tcPr>
            <w:tcW w:w="1558"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1</w:t>
            </w:r>
          </w:p>
        </w:tc>
        <w:tc>
          <w:tcPr>
            <w:tcW w:w="8952"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中共闽清县委宣传部（本级）</w:t>
            </w:r>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Ex>
        <w:trPr>
          <w:cantSplit/>
        </w:trPr>
        <w:tc>
          <w:tcPr>
            <w:tcW w:w="1558"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2</w:t>
            </w:r>
          </w:p>
        </w:tc>
        <w:tc>
          <w:tcPr>
            <w:tcW w:w="8952"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闽清县社会科学界联合会</w:t>
            </w:r>
          </w:p>
        </w:tc>
      </w:tr>
    </w:tbl>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4" w:name="_Toc256000057"/>
      <w:r>
        <w:rPr>
          <w:rFonts w:ascii="黑体" w:hAnsi="黑体" w:eastAsia="黑体" w:cs="黑体"/>
          <w:b w:val="0"/>
          <w:bCs w:val="0"/>
          <w:spacing w:val="0"/>
        </w:rPr>
        <w:t>三、部门主要工作总结</w:t>
      </w:r>
      <w:bookmarkEnd w:id="4"/>
    </w:p>
    <w:p>
      <w:pPr>
        <w:pStyle w:val="28"/>
        <w:widowControl/>
        <w:spacing w:before="100" w:after="100" w:line="560" w:lineRule="atLeast"/>
        <w:ind w:left="100" w:right="100" w:firstLine="640"/>
        <w:jc w:val="left"/>
        <w:rPr>
          <w:rFonts w:ascii="FangSong_GB2312" w:hAnsi="FangSong_GB2312" w:eastAsia="FangSong_GB2312" w:cs="FangSong_GB2312"/>
          <w:spacing w:val="0"/>
          <w:kern w:val="0"/>
          <w:sz w:val="32"/>
          <w:szCs w:val="32"/>
        </w:rPr>
      </w:pPr>
      <w:r>
        <w:rPr>
          <w:rFonts w:ascii="FangSong_GB2312" w:hAnsi="FangSong_GB2312" w:eastAsia="FangSong_GB2312" w:cs="FangSong_GB2312"/>
          <w:spacing w:val="0"/>
          <w:kern w:val="0"/>
          <w:sz w:val="32"/>
          <w:szCs w:val="32"/>
        </w:rPr>
        <w:t>2025年，中共闽清县委宣传部部门主要任务是：围绕上述任务，重点完成了以下工作：</w:t>
      </w:r>
    </w:p>
    <w:p>
      <w:pPr>
        <w:keepNext w:val="0"/>
        <w:keepLines w:val="0"/>
        <w:widowControl w:val="0"/>
        <w:suppressLineNumbers w:val="0"/>
        <w:autoSpaceDE w:val="0"/>
        <w:autoSpaceDN/>
        <w:adjustRightInd w:val="0"/>
        <w:spacing w:before="0" w:beforeAutospacing="0" w:after="0" w:afterAutospacing="0" w:line="600" w:lineRule="exact"/>
        <w:ind w:left="0" w:right="0" w:firstLine="640"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2025年，闽清县意识形态工作始终坚持以习近平新时代中国特色社会主义思想为指导，深入贯彻落实党的二十大和二十届历次全会精神，以强有力的思想引领、主流舆论、文化供给、价值导向和机制保障，为县域经济社会高质量发展提供了坚强的思想保证、强大的精神力量和有利的文化条件。</w:t>
      </w:r>
    </w:p>
    <w:p>
      <w:pPr>
        <w:keepNext w:val="0"/>
        <w:keepLines w:val="0"/>
        <w:widowControl w:val="0"/>
        <w:suppressLineNumbers w:val="0"/>
        <w:autoSpaceDE w:val="0"/>
        <w:autoSpaceDN/>
        <w:adjustRightInd w:val="0"/>
        <w:spacing w:before="0" w:beforeAutospacing="0" w:after="0" w:afterAutospacing="0" w:line="600" w:lineRule="exact"/>
        <w:ind w:left="0" w:right="0" w:firstLine="640"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强化理论武装体系，打造意识形态工作坚强思想堡垒。围绕学习党的二十届四中全会精神等主题开展集中学习18次、专题研讨6次，示范带动各党委（党组）开展理论学习中心组学习590余场、研讨200余场。通过线上线下联动学、分级分层研讨学等形式开展学习3360场，全县形成同频共振的理论学习热潮。深入开展全面建设学习型社会活动，建成学习阅读服务点16个，党员干部结合自身岗位和阅读感悟畅谈心得体会，开展全民阅读活动100余场。深化社科研究普及，举办闽都文化名家讲、社科普及宣传周等活动23场。</w:t>
      </w:r>
    </w:p>
    <w:p>
      <w:pPr>
        <w:keepNext w:val="0"/>
        <w:keepLines w:val="0"/>
        <w:widowControl w:val="0"/>
        <w:suppressLineNumbers w:val="0"/>
        <w:autoSpaceDE w:val="0"/>
        <w:autoSpaceDN/>
        <w:adjustRightInd w:val="0"/>
        <w:spacing w:before="0" w:beforeAutospacing="0" w:after="0" w:afterAutospacing="0" w:line="600" w:lineRule="exact"/>
        <w:ind w:left="0" w:right="0" w:firstLine="640"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构建宣传联动格局，凝聚意识形态领域激昂奋进力量。2025年县属媒体平台发布作品8153篇（条）。中央及省、市主流媒体刊（播）发闽清稿件1865篇（条），同比增长11.6％，借力流量效应，与12个自媒体账号开展民生政策、节庆活动宣传常态化合作，发布正面信息7000余条，浏览量达920万次，“贴近群众、服务民生”宣传成效显著提升。</w:t>
      </w:r>
    </w:p>
    <w:p>
      <w:pPr>
        <w:keepNext w:val="0"/>
        <w:keepLines w:val="0"/>
        <w:widowControl w:val="0"/>
        <w:suppressLineNumbers w:val="0"/>
        <w:autoSpaceDE w:val="0"/>
        <w:autoSpaceDN/>
        <w:adjustRightInd w:val="0"/>
        <w:spacing w:before="0" w:beforeAutospacing="0" w:after="0" w:afterAutospacing="0" w:line="600" w:lineRule="exact"/>
        <w:ind w:left="0" w:right="0" w:firstLine="640"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提升文化服务效能，增进主流意识形态情感认同共鸣。实施公共文化服务提质增效行动，打造惠及全民公益文化品牌，开展“百姓大舞台”系列文艺演出和惠民活动110场，举办“故事妈妈”亲子绘本阅读、舞蹈等公益课堂类活动124场，受众达10万人次；2025年完成农村公益电影放映3276场，观众达30万人次。</w:t>
      </w:r>
    </w:p>
    <w:p>
      <w:pPr>
        <w:keepNext w:val="0"/>
        <w:keepLines w:val="0"/>
        <w:widowControl w:val="0"/>
        <w:suppressLineNumbers w:val="0"/>
        <w:autoSpaceDE w:val="0"/>
        <w:autoSpaceDN/>
        <w:adjustRightInd w:val="0"/>
        <w:spacing w:before="0" w:beforeAutospacing="0" w:after="0" w:afterAutospacing="0" w:line="600" w:lineRule="exact"/>
        <w:ind w:left="0" w:right="0" w:firstLine="640"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培育社会文明风尚，强化意识形态工作价值引领功能。一是文明培育筑牢道德根基。开展选树学习活动30场，100余条典型人物事迹在全县展播。开展移风易俗“五进”宣传活动100余场，实现292个村（社区）“红白理事会”全覆盖。二是文明创建激发内生动力。构建以县城为中心的城乡精神文明建设融合发展“一心四带”，打造诚信示范街线2条、生态文明公路线1条、榜样公交线1条、红色研学线路2条，全县2家单位、7个乡村、1所学校入围新一届全国文明单位（村、校园）提名名单。三是文明实践融入城市肌理。以文明新风为牵引，开展“我们的节日”系列节庆活动450余场，开展政策宣讲、便民服务活动98场。</w:t>
      </w:r>
    </w:p>
    <w:p>
      <w:pPr>
        <w:pStyle w:val="28"/>
        <w:widowControl/>
        <w:spacing w:before="100" w:after="100" w:line="560" w:lineRule="atLeast"/>
        <w:ind w:left="100" w:right="100" w:firstLine="640"/>
        <w:jc w:val="left"/>
        <w:rPr>
          <w:rFonts w:ascii="FangSong_GB2312" w:hAnsi="FangSong_GB2312" w:eastAsia="FangSong_GB2312" w:cs="FangSong_GB2312"/>
          <w:b/>
          <w:bCs/>
          <w:spacing w:val="0"/>
          <w:kern w:val="0"/>
          <w:sz w:val="32"/>
          <w:szCs w:val="32"/>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sectPr>
          <w:footerReference r:id="rId7"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5" w:name="_Toc256000058"/>
      <w:r>
        <w:rPr>
          <w:rFonts w:ascii="黑体" w:hAnsi="黑体" w:eastAsia="黑体" w:cs="黑体"/>
          <w:b w:val="0"/>
          <w:bCs w:val="0"/>
          <w:spacing w:val="0"/>
          <w:sz w:val="56"/>
          <w:szCs w:val="56"/>
        </w:rPr>
        <w:t>第二部分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2025年度部门决算表</w:t>
      </w:r>
      <w:bookmarkEnd w:id="5"/>
    </w:p>
    <w:p>
      <w:pPr>
        <w:pStyle w:val="29"/>
        <w:widowControl/>
        <w:spacing w:before="100" w:after="100"/>
        <w:ind w:left="100" w:right="100" w:firstLine="0"/>
        <w:jc w:val="center"/>
        <w:rPr>
          <w:rFonts w:ascii="Times New Roman" w:hAnsi="Times New Roman" w:eastAsia="Times New Roman" w:cs="Times New Roman"/>
          <w:kern w:val="0"/>
          <w:sz w:val="24"/>
        </w:rPr>
      </w:pPr>
    </w:p>
    <w:p>
      <w:pPr>
        <w:sectPr>
          <w:footerReference r:id="rId8"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6" w:name="_Toc256000059"/>
      <w:r>
        <w:rPr>
          <w:rFonts w:ascii="黑体" w:hAnsi="黑体" w:eastAsia="黑体" w:cs="黑体"/>
          <w:b w:val="0"/>
          <w:bCs w:val="0"/>
          <w:spacing w:val="0"/>
        </w:rPr>
        <w:t>一、收入支出决算总表</w:t>
      </w:r>
      <w:bookmarkEnd w:id="6"/>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22"/>
        <w:tblW w:w="15159" w:type="dxa"/>
        <w:tblInd w:w="20" w:type="dxa"/>
        <w:tblLayout w:type="fixed"/>
        <w:tblCellMar>
          <w:top w:w="0" w:type="dxa"/>
          <w:left w:w="108" w:type="dxa"/>
          <w:bottom w:w="0" w:type="dxa"/>
          <w:right w:w="108" w:type="dxa"/>
        </w:tblCellMar>
      </w:tblPr>
      <w:tblGrid>
        <w:gridCol w:w="3789"/>
        <w:gridCol w:w="3790"/>
        <w:gridCol w:w="3790"/>
        <w:gridCol w:w="3790"/>
      </w:tblGrid>
      <w:tr>
        <w:tblPrEx>
          <w:tblLayout w:type="fixed"/>
          <w:tblCellMar>
            <w:top w:w="0" w:type="dxa"/>
            <w:left w:w="108" w:type="dxa"/>
            <w:bottom w:w="0" w:type="dxa"/>
            <w:right w:w="108" w:type="dxa"/>
          </w:tblCellMar>
        </w:tblPrEx>
        <w:trPr>
          <w:cantSplit/>
          <w:tblHeader/>
        </w:trPr>
        <w:tc>
          <w:tcPr>
            <w:tcW w:w="15159" w:type="dxa"/>
            <w:gridSpan w:val="4"/>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收入支出决算总表</w:t>
            </w:r>
          </w:p>
        </w:tc>
      </w:tr>
      <w:tr>
        <w:tblPrEx>
          <w:tblLayout w:type="fixed"/>
          <w:tblCellMar>
            <w:top w:w="0" w:type="dxa"/>
            <w:left w:w="108" w:type="dxa"/>
            <w:bottom w:w="0" w:type="dxa"/>
            <w:right w:w="108" w:type="dxa"/>
          </w:tblCellMar>
        </w:tblPrEx>
        <w:trPr>
          <w:cantSplit/>
          <w:tblHeader/>
        </w:trPr>
        <w:tc>
          <w:tcPr>
            <w:tcW w:w="7579"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0"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0"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公开01表</w:t>
            </w:r>
          </w:p>
        </w:tc>
      </w:tr>
      <w:tr>
        <w:tblPrEx>
          <w:tblLayout w:type="fixed"/>
          <w:tblCellMar>
            <w:top w:w="0" w:type="dxa"/>
            <w:left w:w="108" w:type="dxa"/>
            <w:bottom w:w="0" w:type="dxa"/>
            <w:right w:w="108" w:type="dxa"/>
          </w:tblCellMar>
        </w:tblPrEx>
        <w:trPr>
          <w:cantSplit/>
          <w:tblHeader/>
        </w:trPr>
        <w:tc>
          <w:tcPr>
            <w:tcW w:w="11369" w:type="dxa"/>
            <w:gridSpan w:val="3"/>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编制单位：中共闽清县委宣传部</w:t>
            </w:r>
          </w:p>
        </w:tc>
        <w:tc>
          <w:tcPr>
            <w:tcW w:w="3790"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Layout w:type="fixed"/>
          <w:tblCellMar>
            <w:top w:w="0" w:type="dxa"/>
            <w:left w:w="108" w:type="dxa"/>
            <w:bottom w:w="0" w:type="dxa"/>
            <w:right w:w="108" w:type="dxa"/>
          </w:tblCellMar>
        </w:tblPrEx>
        <w:trPr>
          <w:cantSplit/>
          <w:tblHeader/>
        </w:trPr>
        <w:tc>
          <w:tcPr>
            <w:tcW w:w="7579"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758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tblPrEx>
          <w:tblLayout w:type="fixed"/>
          <w:tblCellMar>
            <w:top w:w="0" w:type="dxa"/>
            <w:left w:w="108" w:type="dxa"/>
            <w:bottom w:w="0" w:type="dxa"/>
            <w:right w:w="108" w:type="dxa"/>
          </w:tblCellMar>
        </w:tblPrEx>
        <w:trPr>
          <w:cantSplit/>
          <w:tblHeader/>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项目(按支出功能分类)</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1,262.75</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979.59</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二、外交支出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四、上级补助收入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五、事业收入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六、经营收入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七、附属单位上缴收入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148.48</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八、其他收入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6.90</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102.57</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23.50</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38.61</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12.11</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1,300.89</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1,306.10</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使用非财政拨款结余（含专用结余）</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结余分配</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6.29</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年末结转和结余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1.08</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1,307.18</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1,307.18</w:t>
            </w:r>
          </w:p>
        </w:tc>
      </w:tr>
      <w:tr>
        <w:tblPrEx>
          <w:tblLayout w:type="fixed"/>
          <w:tblCellMar>
            <w:top w:w="0" w:type="dxa"/>
            <w:left w:w="108" w:type="dxa"/>
            <w:bottom w:w="0" w:type="dxa"/>
            <w:right w:w="108" w:type="dxa"/>
          </w:tblCellMar>
        </w:tblPrEx>
        <w:trPr>
          <w:cantSplit/>
        </w:trPr>
        <w:tc>
          <w:tcPr>
            <w:tcW w:w="15159" w:type="dxa"/>
            <w:gridSpan w:val="4"/>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注：1.本表反映部门本年度的总收支和年末结转结余情况。</w:t>
            </w:r>
          </w:p>
        </w:tc>
      </w:tr>
      <w:tr>
        <w:tblPrEx>
          <w:tblLayout w:type="fixed"/>
          <w:tblCellMar>
            <w:top w:w="0" w:type="dxa"/>
            <w:left w:w="108" w:type="dxa"/>
            <w:bottom w:w="0" w:type="dxa"/>
            <w:right w:w="108" w:type="dxa"/>
          </w:tblCellMar>
        </w:tblPrEx>
        <w:trPr>
          <w:cantSplit/>
        </w:trPr>
        <w:tc>
          <w:tcPr>
            <w:tcW w:w="15159" w:type="dxa"/>
            <w:gridSpan w:val="4"/>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2.本套报表金额单位转换时可能存在尾数误差。</w:t>
            </w:r>
          </w:p>
        </w:tc>
      </w:tr>
    </w:tbl>
    <w:p>
      <w:pPr>
        <w:sectPr>
          <w:footerReference r:id="rId9"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9"/>
        <w:widowControl/>
        <w:spacing w:before="240" w:after="24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7" w:name="_Toc256000060"/>
      <w:r>
        <w:rPr>
          <w:rFonts w:ascii="黑体" w:hAnsi="黑体" w:eastAsia="黑体" w:cs="黑体"/>
          <w:b w:val="0"/>
          <w:bCs w:val="0"/>
          <w:spacing w:val="0"/>
        </w:rPr>
        <w:t>二、收入决算表</w:t>
      </w:r>
      <w:bookmarkEnd w:id="7"/>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gk02</w:t>
      </w:r>
    </w:p>
    <w:tbl>
      <w:tblPr>
        <w:tblStyle w:val="22"/>
        <w:tblW w:w="15159" w:type="dxa"/>
        <w:tblInd w:w="20" w:type="dxa"/>
        <w:tblLayout w:type="fixed"/>
        <w:tblCellMar>
          <w:top w:w="0" w:type="dxa"/>
          <w:left w:w="108" w:type="dxa"/>
          <w:bottom w:w="0" w:type="dxa"/>
          <w:right w:w="108" w:type="dxa"/>
        </w:tblCellMar>
      </w:tblPr>
      <w:tblGrid>
        <w:gridCol w:w="579"/>
        <w:gridCol w:w="578"/>
        <w:gridCol w:w="578"/>
        <w:gridCol w:w="1678"/>
        <w:gridCol w:w="1678"/>
        <w:gridCol w:w="1678"/>
        <w:gridCol w:w="1678"/>
        <w:gridCol w:w="1678"/>
        <w:gridCol w:w="1678"/>
        <w:gridCol w:w="1678"/>
        <w:gridCol w:w="1678"/>
      </w:tblGrid>
      <w:tr>
        <w:tblPrEx>
          <w:tblLayout w:type="fixed"/>
          <w:tblCellMar>
            <w:top w:w="0" w:type="dxa"/>
            <w:left w:w="108" w:type="dxa"/>
            <w:bottom w:w="0" w:type="dxa"/>
            <w:right w:w="108" w:type="dxa"/>
          </w:tblCellMar>
        </w:tblPrEx>
        <w:trPr>
          <w:cantSplit/>
          <w:tblHeader/>
        </w:trPr>
        <w:tc>
          <w:tcPr>
            <w:tcW w:w="15159" w:type="dxa"/>
            <w:gridSpan w:val="11"/>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收入决算表</w:t>
            </w:r>
          </w:p>
        </w:tc>
      </w:tr>
      <w:tr>
        <w:tblPrEx>
          <w:tblLayout w:type="fixed"/>
          <w:tblCellMar>
            <w:top w:w="0" w:type="dxa"/>
            <w:left w:w="108" w:type="dxa"/>
            <w:bottom w:w="0" w:type="dxa"/>
            <w:right w:w="108" w:type="dxa"/>
          </w:tblCellMar>
        </w:tblPrEx>
        <w:trPr>
          <w:cantSplit/>
          <w:tblHeader/>
        </w:trPr>
        <w:tc>
          <w:tcPr>
            <w:tcW w:w="1157"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公开02表</w:t>
            </w:r>
          </w:p>
        </w:tc>
      </w:tr>
      <w:tr>
        <w:tblPrEx>
          <w:tblLayout w:type="fixed"/>
          <w:tblCellMar>
            <w:top w:w="0" w:type="dxa"/>
            <w:left w:w="108" w:type="dxa"/>
            <w:bottom w:w="0" w:type="dxa"/>
            <w:right w:w="108" w:type="dxa"/>
          </w:tblCellMar>
        </w:tblPrEx>
        <w:trPr>
          <w:cantSplit/>
          <w:tblHeader/>
        </w:trPr>
        <w:tc>
          <w:tcPr>
            <w:tcW w:w="8447" w:type="dxa"/>
            <w:gridSpan w:val="7"/>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编制单位：中共闽清县委宣传部</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Layout w:type="fixed"/>
          <w:tblCellMar>
            <w:top w:w="0" w:type="dxa"/>
            <w:left w:w="108" w:type="dxa"/>
            <w:bottom w:w="0" w:type="dxa"/>
            <w:right w:w="108" w:type="dxa"/>
          </w:tblCellMar>
        </w:tblPrEx>
        <w:trPr>
          <w:cantSplit/>
          <w:tblHeader/>
        </w:trPr>
        <w:tc>
          <w:tcPr>
            <w:tcW w:w="3413"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678"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1678"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财政拨款收入 </w:t>
            </w:r>
          </w:p>
        </w:tc>
        <w:tc>
          <w:tcPr>
            <w:tcW w:w="1678"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上级补助收入</w:t>
            </w:r>
          </w:p>
        </w:tc>
        <w:tc>
          <w:tcPr>
            <w:tcW w:w="1678"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事业收入</w:t>
            </w:r>
          </w:p>
        </w:tc>
        <w:tc>
          <w:tcPr>
            <w:tcW w:w="1678"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经营收入</w:t>
            </w:r>
          </w:p>
        </w:tc>
        <w:tc>
          <w:tcPr>
            <w:tcW w:w="1678"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附属单位上缴收入</w:t>
            </w:r>
          </w:p>
        </w:tc>
        <w:tc>
          <w:tcPr>
            <w:tcW w:w="1678"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其他收入</w:t>
            </w:r>
          </w:p>
        </w:tc>
      </w:tr>
      <w:tr>
        <w:tblPrEx>
          <w:tblLayout w:type="fixed"/>
          <w:tblCellMar>
            <w:top w:w="0" w:type="dxa"/>
            <w:left w:w="108" w:type="dxa"/>
            <w:bottom w:w="0" w:type="dxa"/>
            <w:right w:w="108" w:type="dxa"/>
          </w:tblCellMar>
        </w:tblPrEx>
        <w:trPr>
          <w:cantSplit/>
          <w:tblHeader/>
        </w:trPr>
        <w:tc>
          <w:tcPr>
            <w:tcW w:w="1735" w:type="dxa"/>
            <w:gridSpan w:val="3"/>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1678"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Layout w:type="fixed"/>
          <w:tblCellMar>
            <w:top w:w="0" w:type="dxa"/>
            <w:left w:w="108" w:type="dxa"/>
            <w:bottom w:w="0" w:type="dxa"/>
            <w:right w:w="108" w:type="dxa"/>
          </w:tblCellMar>
        </w:tblPrEx>
        <w:trPr>
          <w:cantSplit/>
          <w:tblHeader/>
        </w:trPr>
        <w:tc>
          <w:tcPr>
            <w:tcW w:w="1735"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Layout w:type="fixed"/>
          <w:tblCellMar>
            <w:top w:w="0" w:type="dxa"/>
            <w:left w:w="108" w:type="dxa"/>
            <w:bottom w:w="0" w:type="dxa"/>
            <w:right w:w="108" w:type="dxa"/>
          </w:tblCellMar>
        </w:tblPrEx>
        <w:trPr>
          <w:cantSplit/>
          <w:tblHeader/>
        </w:trPr>
        <w:tc>
          <w:tcPr>
            <w:tcW w:w="57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1,300.89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1,293.99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6.90</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一般公共服务支出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979.59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979.59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20133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宣传事务</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979.59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979.59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2013301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行政运行</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318.72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318.72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2013302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一般行政管理事务</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6.70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6.70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2013350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事业运行</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36.28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36.28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2013399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其他宣传事务支出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617.89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617.89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文化旅游体育与传媒支出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148.48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148.48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新闻出版电影</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47.04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47.04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2070607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电影</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47.04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47.04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国家电影事业发展专项资金安排的支出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2070799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其他国家电影事业发展专项资金支出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其他文化旅游体育与传媒支出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70.21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70.21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2079999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其他文化旅游体育与传媒支出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70.21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70.21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102.57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102.57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行政事业单位养老支出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97.57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97.57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行政单位离退休</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机关事业单位基本养老保险缴费支出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38.97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38.97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机关事业单位职业年金缴费支出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19.46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19.46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其他社会保障和就业支出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2089999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其他社会保障和就业支出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卫生健康支出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23.50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23.50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行政事业单位医疗</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23.50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23.50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2101101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行政单位医疗</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12.27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12.27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事业单位医疗</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2101103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公务员医疗补助</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9.85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9.85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住房保障支出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38.61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38.61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住房改革支出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38.61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38.61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32.41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32.41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提租补贴</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6.90</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6.90</w:t>
            </w:r>
          </w:p>
        </w:tc>
      </w:tr>
      <w:tr>
        <w:tblPrEx>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6.90</w:t>
            </w:r>
          </w:p>
        </w:tc>
      </w:tr>
      <w:tr>
        <w:tblPrEx>
          <w:tblLayout w:type="fixed"/>
          <w:tblCellMar>
            <w:top w:w="0" w:type="dxa"/>
            <w:left w:w="108" w:type="dxa"/>
            <w:bottom w:w="0" w:type="dxa"/>
            <w:right w:w="108" w:type="dxa"/>
          </w:tblCellMar>
        </w:tblPrEx>
        <w:trPr>
          <w:cantSplit/>
        </w:trPr>
        <w:tc>
          <w:tcPr>
            <w:tcW w:w="15159" w:type="dxa"/>
            <w:gridSpan w:val="11"/>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注：本表反映部门本年度取得的各项收入情况。</w:t>
            </w:r>
          </w:p>
        </w:tc>
      </w:tr>
    </w:tbl>
    <w:p>
      <w:pPr>
        <w:sectPr>
          <w:footerReference r:id="rId10"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9"/>
        <w:widowControl/>
        <w:spacing w:before="240" w:after="100"/>
        <w:ind w:left="100" w:right="100" w:firstLine="0"/>
        <w:jc w:val="left"/>
        <w:rPr>
          <w:rFonts w:ascii="Times New Roman" w:hAnsi="Times New Roman" w:eastAsia="Times New Roman" w:cs="Times New Roman"/>
          <w:kern w:val="0"/>
          <w:sz w:val="24"/>
        </w:rPr>
      </w:pP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8" w:name="_Toc256000061"/>
      <w:r>
        <w:rPr>
          <w:rFonts w:ascii="黑体" w:hAnsi="黑体" w:eastAsia="黑体" w:cs="黑体"/>
          <w:b w:val="0"/>
          <w:bCs w:val="0"/>
          <w:spacing w:val="0"/>
        </w:rPr>
        <w:t>三、支出决算表</w:t>
      </w:r>
      <w:bookmarkEnd w:id="8"/>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gk03</w:t>
      </w:r>
    </w:p>
    <w:tbl>
      <w:tblPr>
        <w:tblStyle w:val="22"/>
        <w:tblW w:w="15159" w:type="dxa"/>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tblPrEx>
          <w:tblLayout w:type="fixed"/>
          <w:tblCellMar>
            <w:top w:w="0" w:type="dxa"/>
            <w:left w:w="108" w:type="dxa"/>
            <w:bottom w:w="0" w:type="dxa"/>
            <w:right w:w="108" w:type="dxa"/>
          </w:tblCellMar>
        </w:tblPrEx>
        <w:trPr>
          <w:cantSplit/>
          <w:tblHeader/>
        </w:trPr>
        <w:tc>
          <w:tcPr>
            <w:tcW w:w="15159" w:type="dxa"/>
            <w:gridSpan w:val="1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支出决算表</w:t>
            </w:r>
          </w:p>
        </w:tc>
      </w:tr>
      <w:tr>
        <w:tblPrEx>
          <w:tblLayout w:type="fixed"/>
          <w:tblCellMar>
            <w:top w:w="0" w:type="dxa"/>
            <w:left w:w="108" w:type="dxa"/>
            <w:bottom w:w="0" w:type="dxa"/>
            <w:right w:w="108" w:type="dxa"/>
          </w:tblCellMar>
        </w:tblPrEx>
        <w:trPr>
          <w:cantSplit/>
          <w:tblHeader/>
        </w:trPr>
        <w:tc>
          <w:tcPr>
            <w:tcW w:w="3783" w:type="dxa"/>
            <w:gridSpan w:val="4"/>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公开03表</w:t>
            </w:r>
          </w:p>
        </w:tc>
      </w:tr>
      <w:tr>
        <w:tblPrEx>
          <w:tblLayout w:type="fixed"/>
          <w:tblCellMar>
            <w:top w:w="0" w:type="dxa"/>
            <w:left w:w="108" w:type="dxa"/>
            <w:bottom w:w="0" w:type="dxa"/>
            <w:right w:w="108" w:type="dxa"/>
          </w:tblCellMar>
        </w:tblPrEx>
        <w:trPr>
          <w:cantSplit/>
          <w:tblHeader/>
        </w:trPr>
        <w:tc>
          <w:tcPr>
            <w:tcW w:w="9471" w:type="dxa"/>
            <w:gridSpan w:val="7"/>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编制单位：中共闽清县委宣传部</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Layout w:type="fixed"/>
          <w:tblCellMar>
            <w:top w:w="0" w:type="dxa"/>
            <w:left w:w="108" w:type="dxa"/>
            <w:bottom w:w="0" w:type="dxa"/>
            <w:right w:w="108" w:type="dxa"/>
          </w:tblCellMar>
        </w:tblPrEx>
        <w:trPr>
          <w:cantSplit/>
          <w:tblHeader/>
        </w:trPr>
        <w:tc>
          <w:tcPr>
            <w:tcW w:w="3783"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上缴上级支出</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经营支出</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对附属单位补助支出</w:t>
            </w:r>
          </w:p>
        </w:tc>
      </w:tr>
      <w:tr>
        <w:tblPrEx>
          <w:tblLayout w:type="fixed"/>
          <w:tblCellMar>
            <w:top w:w="0" w:type="dxa"/>
            <w:left w:w="108" w:type="dxa"/>
            <w:bottom w:w="0" w:type="dxa"/>
            <w:right w:w="108" w:type="dxa"/>
          </w:tblCellMar>
        </w:tblPrEx>
        <w:trPr>
          <w:cantSplit/>
          <w:tblHeader/>
        </w:trPr>
        <w:tc>
          <w:tcPr>
            <w:tcW w:w="1887" w:type="dxa"/>
            <w:gridSpan w:val="3"/>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Layout w:type="fixed"/>
          <w:tblCellMar>
            <w:top w:w="0" w:type="dxa"/>
            <w:left w:w="108" w:type="dxa"/>
            <w:bottom w:w="0" w:type="dxa"/>
            <w:right w:w="108" w:type="dxa"/>
          </w:tblCellMar>
        </w:tblPrEx>
        <w:trPr>
          <w:cantSplit/>
          <w:tblHeader/>
        </w:trPr>
        <w:tc>
          <w:tcPr>
            <w:tcW w:w="1887"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Layout w:type="fixed"/>
          <w:tblCellMar>
            <w:top w:w="0" w:type="dxa"/>
            <w:left w:w="108" w:type="dxa"/>
            <w:bottom w:w="0" w:type="dxa"/>
            <w:right w:w="108" w:type="dxa"/>
          </w:tblCellMar>
        </w:tblPrEx>
        <w:trPr>
          <w:cantSplit/>
          <w:tblHeader/>
        </w:trPr>
        <w:tc>
          <w:tcPr>
            <w:tcW w:w="62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62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62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1,306.10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558.48</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747.62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一般公共服务支出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979.59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384.61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594.98</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20133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宣传事务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979.59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384.61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594.98</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2013301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行政运行</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318.72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318.72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2013302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一般行政管理事务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6.70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6.70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2013350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事业运行</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36.28</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36.28</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2013399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其他宣传事务支出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617.89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29.61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588.28</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文化旅游体育与传媒支出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148.48</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148.48</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新闻出版电影</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47.04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47.04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2070607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电影</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47.04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47.04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国家电影事业发展专项资金安排的支出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2070799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其他国家电影事业发展专项资金支出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其他文化旅游体育与传媒支出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70.21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70.21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2079999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其他文化旅游体育与传媒支出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70.21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70.21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102.57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102.57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行政事业单位养老支出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97.57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97.57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行政单位离退休</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机关事业单位基本养老保险缴费支出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38.97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38.97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机关事业单位职业年金缴费支出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19.46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19.46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其他社会保障和就业支出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2089999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其他社会保障和就业支出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卫生健康支出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23.50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23.50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行政事业单位医疗</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23.50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23.50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2101101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行政单位医疗</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12.27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12.27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事业单位医疗</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1.38</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1.38</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2101103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公务员医疗补助</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9.85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9.85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住房保障支出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38.61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38.61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住房改革支出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38.61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38.61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32.41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32.41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提租补贴</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12.11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7.95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4.16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12.11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7.95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4.16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12.11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7.95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4.16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5159" w:type="dxa"/>
            <w:gridSpan w:val="1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注：本表反映部门本年度各项支出情况。</w:t>
            </w:r>
          </w:p>
        </w:tc>
      </w:tr>
    </w:tbl>
    <w:p>
      <w:pPr>
        <w:sectPr>
          <w:footerReference r:id="rId11"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9" w:name="_Toc256000062"/>
      <w:r>
        <w:rPr>
          <w:rFonts w:ascii="黑体" w:hAnsi="黑体" w:eastAsia="黑体" w:cs="黑体"/>
          <w:b w:val="0"/>
          <w:bCs w:val="0"/>
          <w:spacing w:val="0"/>
        </w:rPr>
        <w:t>四、财政拨款收入支出决算总表</w:t>
      </w:r>
      <w:bookmarkEnd w:id="9"/>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22"/>
        <w:tblW w:w="15159" w:type="dxa"/>
        <w:tblInd w:w="20" w:type="dxa"/>
        <w:tblLayout w:type="fixed"/>
        <w:tblCellMar>
          <w:top w:w="0" w:type="dxa"/>
          <w:left w:w="108" w:type="dxa"/>
          <w:bottom w:w="0" w:type="dxa"/>
          <w:right w:w="108" w:type="dxa"/>
        </w:tblCellMar>
      </w:tblPr>
      <w:tblGrid>
        <w:gridCol w:w="2165"/>
        <w:gridCol w:w="2165"/>
        <w:gridCol w:w="2165"/>
        <w:gridCol w:w="2166"/>
        <w:gridCol w:w="2166"/>
        <w:gridCol w:w="2166"/>
        <w:gridCol w:w="2166"/>
      </w:tblGrid>
      <w:tr>
        <w:tblPrEx>
          <w:tblLayout w:type="fixed"/>
          <w:tblCellMar>
            <w:top w:w="0" w:type="dxa"/>
            <w:left w:w="108" w:type="dxa"/>
            <w:bottom w:w="0" w:type="dxa"/>
            <w:right w:w="108" w:type="dxa"/>
          </w:tblCellMar>
        </w:tblPrEx>
        <w:trPr>
          <w:cantSplit/>
          <w:tblHeader/>
        </w:trPr>
        <w:tc>
          <w:tcPr>
            <w:tcW w:w="15159" w:type="dxa"/>
            <w:gridSpan w:val="7"/>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财政拨款收入支出决算总表</w:t>
            </w:r>
          </w:p>
        </w:tc>
      </w:tr>
      <w:tr>
        <w:tblPrEx>
          <w:tblLayout w:type="fixed"/>
          <w:tblCellMar>
            <w:top w:w="0" w:type="dxa"/>
            <w:left w:w="108" w:type="dxa"/>
            <w:bottom w:w="0" w:type="dxa"/>
            <w:right w:w="108" w:type="dxa"/>
          </w:tblCellMar>
        </w:tblPrEx>
        <w:trPr>
          <w:cantSplit/>
          <w:tblHeader/>
        </w:trPr>
        <w:tc>
          <w:tcPr>
            <w:tcW w:w="8661" w:type="dxa"/>
            <w:gridSpan w:val="4"/>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433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公开04表</w:t>
            </w:r>
          </w:p>
        </w:tc>
      </w:tr>
      <w:tr>
        <w:tblPrEx>
          <w:tblLayout w:type="fixed"/>
          <w:tblCellMar>
            <w:top w:w="0" w:type="dxa"/>
            <w:left w:w="108" w:type="dxa"/>
            <w:bottom w:w="0" w:type="dxa"/>
            <w:right w:w="108" w:type="dxa"/>
          </w:tblCellMar>
        </w:tblPrEx>
        <w:trPr>
          <w:cantSplit/>
          <w:tblHeader/>
        </w:trPr>
        <w:tc>
          <w:tcPr>
            <w:tcW w:w="8661" w:type="dxa"/>
            <w:gridSpan w:val="4"/>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编制单位：中共闽清县委宣传部</w:t>
            </w:r>
          </w:p>
        </w:tc>
        <w:tc>
          <w:tcPr>
            <w:tcW w:w="216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433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Layout w:type="fixed"/>
          <w:tblCellMar>
            <w:top w:w="0" w:type="dxa"/>
            <w:left w:w="108" w:type="dxa"/>
            <w:bottom w:w="0" w:type="dxa"/>
            <w:right w:w="108" w:type="dxa"/>
          </w:tblCellMar>
        </w:tblPrEx>
        <w:trPr>
          <w:cantSplit/>
          <w:tblHeader/>
        </w:trPr>
        <w:tc>
          <w:tcPr>
            <w:tcW w:w="433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10829"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tblPrEx>
          <w:tblLayout w:type="fixed"/>
          <w:tblCellMar>
            <w:top w:w="0" w:type="dxa"/>
            <w:left w:w="108" w:type="dxa"/>
            <w:bottom w:w="0" w:type="dxa"/>
            <w:right w:w="108" w:type="dxa"/>
          </w:tblCellMar>
        </w:tblPrEx>
        <w:trPr>
          <w:cantSplit/>
          <w:tblHeader/>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项目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项目（按功能分类）</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一般公共预算财政拨款</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政府性基金预算财政拨款</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国有资本经营预算财政拨款</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一、一般公共预算财政拨款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1,262.75</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979.59</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979.59</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二、外交支出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148.48</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117.24</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102.57</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102.57</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23.50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23.50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38.61</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38.61</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1,293.99</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1,293.99</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1,262.75</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年初财政拨款结转和结余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年末财政拨款结转和结余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1,293.99</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1,293.99</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1,262.75</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5159" w:type="dxa"/>
            <w:gridSpan w:val="7"/>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注：1.本表反映部门本年度一般公共预算财政拨款、政府性基金预算财政拨款和国有资本经营预算财政拨款的总收支和结转结余情况。</w:t>
            </w:r>
          </w:p>
        </w:tc>
      </w:tr>
      <w:tr>
        <w:tblPrEx>
          <w:tblLayout w:type="fixed"/>
          <w:tblCellMar>
            <w:top w:w="0" w:type="dxa"/>
            <w:left w:w="108" w:type="dxa"/>
            <w:bottom w:w="0" w:type="dxa"/>
            <w:right w:w="108" w:type="dxa"/>
          </w:tblCellMar>
        </w:tblPrEx>
        <w:trPr>
          <w:cantSplit/>
        </w:trPr>
        <w:tc>
          <w:tcPr>
            <w:tcW w:w="15159" w:type="dxa"/>
            <w:gridSpan w:val="7"/>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2" w:type="default"/>
          <w:pgSz w:w="16383" w:h="11906" w:orient="landscape"/>
          <w:pgMar w:top="1134" w:right="720" w:bottom="1134" w:left="720" w:header="720" w:footer="720" w:gutter="0"/>
          <w:cols w:space="720" w:num="1"/>
        </w:sectPr>
      </w:pPr>
    </w:p>
    <w:p>
      <w:pPr>
        <w:rPr>
          <w:rFonts w:ascii="Times New Roman" w:hAnsi="Times New Roman" w:eastAsia="Times New Roman" w:cs="Times New Roman"/>
          <w:vanish/>
          <w:kern w:val="0"/>
          <w:sz w:val="24"/>
        </w:rPr>
      </w:pPr>
      <w:r>
        <w:rPr>
          <w:rFonts w:ascii="Times New Roman" w:hAnsi="Times New Roman" w:eastAsia="Times New Roman" w:cs="Times New Roman"/>
          <w:kern w:val="0"/>
          <w:sz w:val="24"/>
        </w:rPr>
        <w:t> </w:t>
      </w:r>
    </w:p>
    <w:p>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0" w:name="_Toc256000063"/>
      <w:r>
        <w:rPr>
          <w:rFonts w:ascii="黑体" w:hAnsi="黑体" w:eastAsia="黑体" w:cs="黑体"/>
          <w:b w:val="0"/>
          <w:bCs w:val="0"/>
          <w:spacing w:val="0"/>
        </w:rPr>
        <w:t>五、一般公共预算财政拨款支出决算表</w:t>
      </w:r>
      <w:bookmarkEnd w:id="10"/>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gk05</w:t>
      </w:r>
    </w:p>
    <w:tbl>
      <w:tblPr>
        <w:tblStyle w:val="22"/>
        <w:tblW w:w="15159" w:type="dxa"/>
        <w:tblInd w:w="20" w:type="dxa"/>
        <w:tblLayout w:type="fixed"/>
        <w:tblCellMar>
          <w:top w:w="0" w:type="dxa"/>
          <w:left w:w="108" w:type="dxa"/>
          <w:bottom w:w="0" w:type="dxa"/>
          <w:right w:w="108" w:type="dxa"/>
        </w:tblCellMar>
      </w:tblPr>
      <w:tblGrid>
        <w:gridCol w:w="1740"/>
        <w:gridCol w:w="3354"/>
        <w:gridCol w:w="3355"/>
        <w:gridCol w:w="3355"/>
        <w:gridCol w:w="3355"/>
      </w:tblGrid>
      <w:tr>
        <w:tblPrEx>
          <w:tblLayout w:type="fixed"/>
          <w:tblCellMar>
            <w:top w:w="0" w:type="dxa"/>
            <w:left w:w="108" w:type="dxa"/>
            <w:bottom w:w="0" w:type="dxa"/>
            <w:right w:w="108" w:type="dxa"/>
          </w:tblCellMar>
        </w:tblPrEx>
        <w:trPr>
          <w:cantSplit/>
          <w:tblHeader/>
        </w:trPr>
        <w:tc>
          <w:tcPr>
            <w:tcW w:w="15159" w:type="dxa"/>
            <w:gridSpan w:val="5"/>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一般公共预算财政拨款支出决算表</w:t>
            </w:r>
          </w:p>
        </w:tc>
      </w:tr>
      <w:tr>
        <w:tblPrEx>
          <w:tblLayout w:type="fixed"/>
          <w:tblCellMar>
            <w:top w:w="0" w:type="dxa"/>
            <w:left w:w="108" w:type="dxa"/>
            <w:bottom w:w="0" w:type="dxa"/>
            <w:right w:w="108" w:type="dxa"/>
          </w:tblCellMar>
        </w:tblPrEx>
        <w:trPr>
          <w:cantSplit/>
          <w:tblHeader/>
        </w:trPr>
        <w:tc>
          <w:tcPr>
            <w:tcW w:w="5094"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355"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6710"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公开05表</w:t>
            </w:r>
          </w:p>
        </w:tc>
      </w:tr>
      <w:tr>
        <w:tblPrEx>
          <w:tblLayout w:type="fixed"/>
          <w:tblCellMar>
            <w:top w:w="0" w:type="dxa"/>
            <w:left w:w="108" w:type="dxa"/>
            <w:bottom w:w="0" w:type="dxa"/>
            <w:right w:w="108" w:type="dxa"/>
          </w:tblCellMar>
        </w:tblPrEx>
        <w:trPr>
          <w:cantSplit/>
          <w:tblHeader/>
        </w:trPr>
        <w:tc>
          <w:tcPr>
            <w:tcW w:w="8449" w:type="dxa"/>
            <w:gridSpan w:val="3"/>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编制单位：中共闽清县委宣传部</w:t>
            </w:r>
          </w:p>
        </w:tc>
        <w:tc>
          <w:tcPr>
            <w:tcW w:w="6710"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Layout w:type="fixed"/>
          <w:tblCellMar>
            <w:top w:w="0" w:type="dxa"/>
            <w:left w:w="108" w:type="dxa"/>
            <w:bottom w:w="0" w:type="dxa"/>
            <w:right w:w="108" w:type="dxa"/>
          </w:tblCellMar>
        </w:tblPrEx>
        <w:trPr>
          <w:cantSplit/>
          <w:tblHeader/>
        </w:trPr>
        <w:tc>
          <w:tcPr>
            <w:tcW w:w="5094"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006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tblPrEx>
          <w:tblLayout w:type="fixed"/>
          <w:tblCellMar>
            <w:top w:w="0" w:type="dxa"/>
            <w:left w:w="108" w:type="dxa"/>
            <w:bottom w:w="0" w:type="dxa"/>
            <w:right w:w="108" w:type="dxa"/>
          </w:tblCellMar>
        </w:tblPrEx>
        <w:trPr>
          <w:cantSplit/>
          <w:tblHeader/>
        </w:trPr>
        <w:tc>
          <w:tcPr>
            <w:tcW w:w="174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3354"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335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335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335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tblPrEx>
          <w:tblLayout w:type="fixed"/>
          <w:tblCellMar>
            <w:top w:w="0" w:type="dxa"/>
            <w:left w:w="108" w:type="dxa"/>
            <w:bottom w:w="0" w:type="dxa"/>
            <w:right w:w="108" w:type="dxa"/>
          </w:tblCellMar>
        </w:tblPrEx>
        <w:trPr>
          <w:cantSplit/>
          <w:tblHeader/>
        </w:trPr>
        <w:tc>
          <w:tcPr>
            <w:tcW w:w="1740"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Layout w:type="fixed"/>
          <w:tblCellMar>
            <w:top w:w="0" w:type="dxa"/>
            <w:left w:w="108" w:type="dxa"/>
            <w:bottom w:w="0" w:type="dxa"/>
            <w:right w:w="108" w:type="dxa"/>
          </w:tblCellMar>
        </w:tblPrEx>
        <w:trPr>
          <w:cantSplit/>
          <w:tblHeader/>
        </w:trPr>
        <w:tc>
          <w:tcPr>
            <w:tcW w:w="5094"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1,262.75</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550.53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712.22</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一般公共服务支出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979.59</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384.61</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594.98</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20133</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宣传事务</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979.59</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384.61</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594.98</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2013301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行政运行</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318.72</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318.72</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2013302</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一般行政管理事务</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6.70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6.70</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2013350</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事业运行</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36.28</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36.28</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2013399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其他宣传事务支出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617.89</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29.61</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588.28</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文化旅游体育与传媒支出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117.24</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117.24</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20706</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新闻出版电影</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47.04</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47.04</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2070607</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电影</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47.04</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47.04</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其他文化旅游体育与传媒支出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70.21</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70.21</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2079999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其他文化旅游体育与传媒支出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70.21</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70.21</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102.57</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102.57</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行政事业单位养老支出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97.57</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97.57</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行政单位离退休</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39.14</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39.14</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2080505</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机关事业单位基本养老保险缴费支出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38.97</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38.97</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2080506</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机关事业单位职业年金缴费支出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19.46</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19.46</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其他社会保障和就业支出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2089999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其他社会保障和就业支出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卫生健康支出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23.50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23.50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行政事业单位医疗</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23.50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23.50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2101101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行政单位医疗</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12.27</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12.27</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2101102</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事业单位医疗</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1.38</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1.38</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2101103</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公务员医疗补助</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9.85</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9.85</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住房保障支出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38.61</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38.61</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住房改革支出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38.61</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38.61</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32.41</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32.41</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2210202</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提租补贴</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6.20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6.20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注：1.本表反映部门本年度一般公共预算财政拨款支出情况。</w:t>
            </w:r>
          </w:p>
        </w:tc>
      </w:tr>
      <w:tr>
        <w:tblPrEx>
          <w:tblLayout w:type="fixed"/>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3" w:type="default"/>
          <w:pgSz w:w="16383" w:h="11906" w:orient="landscape"/>
          <w:pgMar w:top="1134" w:right="720" w:bottom="1134" w:left="720" w:header="720" w:footer="720" w:gutter="0"/>
          <w:cols w:space="720" w:num="1"/>
        </w:sectPr>
      </w:pPr>
    </w:p>
    <w:p>
      <w:pPr>
        <w:rPr>
          <w:rFonts w:ascii="Times New Roman" w:hAnsi="Times New Roman" w:eastAsia="Times New Roman" w:cs="Times New Roman"/>
          <w:vanish/>
          <w:kern w:val="0"/>
          <w:sz w:val="24"/>
        </w:rPr>
      </w:pPr>
      <w:r>
        <w:rPr>
          <w:rFonts w:ascii="Times New Roman" w:hAnsi="Times New Roman" w:eastAsia="Times New Roman" w:cs="Times New Roman"/>
          <w:kern w:val="0"/>
          <w:sz w:val="24"/>
        </w:rPr>
        <w:t> </w:t>
      </w:r>
    </w:p>
    <w:p>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1" w:name="_Toc256000064"/>
      <w:r>
        <w:rPr>
          <w:rFonts w:ascii="黑体" w:hAnsi="黑体" w:eastAsia="黑体" w:cs="黑体"/>
          <w:b w:val="0"/>
          <w:bCs w:val="0"/>
          <w:spacing w:val="0"/>
        </w:rPr>
        <w:t>六、一般公共预算财政拨款基本支出决算表</w:t>
      </w:r>
      <w:bookmarkEnd w:id="11"/>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22"/>
        <w:tblW w:w="15159" w:type="dxa"/>
        <w:tblInd w:w="20" w:type="dxa"/>
        <w:tblLayout w:type="fixed"/>
        <w:tblCellMar>
          <w:top w:w="0" w:type="dxa"/>
          <w:left w:w="108" w:type="dxa"/>
          <w:bottom w:w="0" w:type="dxa"/>
          <w:right w:w="108" w:type="dxa"/>
        </w:tblCellMar>
      </w:tblPr>
      <w:tblGrid>
        <w:gridCol w:w="1685"/>
        <w:gridCol w:w="1685"/>
        <w:gridCol w:w="1685"/>
        <w:gridCol w:w="1684"/>
        <w:gridCol w:w="1684"/>
        <w:gridCol w:w="1684"/>
        <w:gridCol w:w="1684"/>
        <w:gridCol w:w="1684"/>
        <w:gridCol w:w="1684"/>
      </w:tblGrid>
      <w:tr>
        <w:tblPrEx>
          <w:tblLayout w:type="fixed"/>
          <w:tblCellMar>
            <w:top w:w="0" w:type="dxa"/>
            <w:left w:w="108" w:type="dxa"/>
            <w:bottom w:w="0" w:type="dxa"/>
            <w:right w:w="108" w:type="dxa"/>
          </w:tblCellMar>
        </w:tblPrEx>
        <w:trPr>
          <w:cantSplit/>
          <w:tblHeader/>
        </w:trPr>
        <w:tc>
          <w:tcPr>
            <w:tcW w:w="15159" w:type="dxa"/>
            <w:gridSpan w:val="9"/>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一般公共预算财政拨款基本支出决算表</w:t>
            </w:r>
          </w:p>
        </w:tc>
      </w:tr>
      <w:tr>
        <w:tblPrEx>
          <w:tblLayout w:type="fixed"/>
          <w:tblCellMar>
            <w:top w:w="0" w:type="dxa"/>
            <w:left w:w="108" w:type="dxa"/>
            <w:bottom w:w="0" w:type="dxa"/>
            <w:right w:w="108" w:type="dxa"/>
          </w:tblCellMar>
        </w:tblPrEx>
        <w:trPr>
          <w:cantSplit/>
          <w:tblHeader/>
        </w:trPr>
        <w:tc>
          <w:tcPr>
            <w:tcW w:w="6739" w:type="dxa"/>
            <w:gridSpan w:val="4"/>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368"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公开06表</w:t>
            </w:r>
          </w:p>
        </w:tc>
      </w:tr>
      <w:tr>
        <w:tblPrEx>
          <w:tblLayout w:type="fixed"/>
          <w:tblCellMar>
            <w:top w:w="0" w:type="dxa"/>
            <w:left w:w="108" w:type="dxa"/>
            <w:bottom w:w="0" w:type="dxa"/>
            <w:right w:w="108" w:type="dxa"/>
          </w:tblCellMar>
        </w:tblPrEx>
        <w:trPr>
          <w:cantSplit/>
          <w:tblHeader/>
        </w:trPr>
        <w:tc>
          <w:tcPr>
            <w:tcW w:w="10107" w:type="dxa"/>
            <w:gridSpan w:val="6"/>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编制单位：中共闽清县委宣传部</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368"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Layout w:type="fixed"/>
          <w:tblCellMar>
            <w:top w:w="0" w:type="dxa"/>
            <w:left w:w="108" w:type="dxa"/>
            <w:bottom w:w="0" w:type="dxa"/>
            <w:right w:w="108" w:type="dxa"/>
          </w:tblCellMar>
        </w:tblPrEx>
        <w:trPr>
          <w:cantSplit/>
          <w:tblHeader/>
        </w:trPr>
        <w:tc>
          <w:tcPr>
            <w:tcW w:w="168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168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8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1684"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1684"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84"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1684"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1684"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84"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r>
      <w:tr>
        <w:tblPrEx>
          <w:tblLayout w:type="fixed"/>
          <w:tblCellMar>
            <w:top w:w="0" w:type="dxa"/>
            <w:left w:w="108" w:type="dxa"/>
            <w:bottom w:w="0" w:type="dxa"/>
            <w:right w:w="108" w:type="dxa"/>
          </w:tblCellMar>
        </w:tblPrEx>
        <w:trPr>
          <w:cantSplit/>
          <w:tblHeader/>
        </w:trPr>
        <w:tc>
          <w:tcPr>
            <w:tcW w:w="168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工资福利支出</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444.56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商品和服务支出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60.59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基本工资</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101.68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房屋建筑物购建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30102</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津贴补贴</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83.04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印刷费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办公设备购置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129.94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手续费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专用设备购置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30106</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伙食补助费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基础设施建设</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30107</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绩效工资</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13.69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电费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大型修缮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30108</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机关事业单位基本养老保险缴费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38.97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邮电费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4.56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信息网络及软件购置更新</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职业年金缴费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19.48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取暖费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物资储备</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30110</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职工基本医疗保险缴费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13.33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物业管理费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土地补偿</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公务员医疗补助缴费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9.92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差旅费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安置补助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30112</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其他社会保障缴费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0.65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因公出国（境）费用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地上附着物和青苗补偿</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33.50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维修（护）费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拆迁补偿</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30114</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租赁费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30199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其他工资福利支出</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0.17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会议费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其他交通工具购置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对个人和家庭的补助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45.38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培训费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文物和陈列品购置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离休费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公务接待费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无形资产购置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30302</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退休费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专用材料费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退职（役）费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被装购置费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对企业补助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30304</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抚恤金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专用燃料费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资本金注入</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30305</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生活补助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劳务费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30.66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政府投资基金股权投资</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30306</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救济费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委托业务费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0.12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费用补贴</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30307</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工会经费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利息补贴</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30308</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助学金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福利费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0.80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奖励金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公务用车运行维护费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其他对企业补助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30310</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个人农业生产补贴</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12.88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代缴社会保险费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30240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税金及附加费用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国家赔偿费用支出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30399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其他对个人和家庭的补助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45.38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其他商品和服务支出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对民间非营利组织和群众性自治组织补贴</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债务利息及费用支出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经常性赠与</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国内债务付息</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39910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资本性赠与</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国外债务付息</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国内债务发行费用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国外债务发行费用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37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人员经费合计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489.94</w:t>
            </w:r>
          </w:p>
        </w:tc>
        <w:tc>
          <w:tcPr>
            <w:tcW w:w="8420"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公用经费合计</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60.59</w:t>
            </w:r>
          </w:p>
        </w:tc>
      </w:tr>
      <w:tr>
        <w:tblPrEx>
          <w:tblLayout w:type="fixed"/>
          <w:tblCellMar>
            <w:top w:w="0" w:type="dxa"/>
            <w:left w:w="108" w:type="dxa"/>
            <w:bottom w:w="0" w:type="dxa"/>
            <w:right w:w="108" w:type="dxa"/>
          </w:tblCellMar>
        </w:tblPrEx>
        <w:trPr>
          <w:cantSplit/>
        </w:trPr>
        <w:tc>
          <w:tcPr>
            <w:tcW w:w="15159" w:type="dxa"/>
            <w:gridSpan w:val="9"/>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注：1.本表反映部门本年度一般公共预算财政拨款基本支出明细情况。</w:t>
            </w:r>
          </w:p>
        </w:tc>
      </w:tr>
      <w:tr>
        <w:tblPrEx>
          <w:tblLayout w:type="fixed"/>
          <w:tblCellMar>
            <w:top w:w="0" w:type="dxa"/>
            <w:left w:w="108" w:type="dxa"/>
            <w:bottom w:w="0" w:type="dxa"/>
            <w:right w:w="108" w:type="dxa"/>
          </w:tblCellMar>
        </w:tblPrEx>
        <w:trPr>
          <w:cantSplit/>
        </w:trPr>
        <w:tc>
          <w:tcPr>
            <w:tcW w:w="15159" w:type="dxa"/>
            <w:gridSpan w:val="9"/>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4" w:type="default"/>
          <w:pgSz w:w="16383" w:h="11906" w:orient="landscape"/>
          <w:pgMar w:top="1134" w:right="720" w:bottom="1134" w:left="720" w:header="720" w:footer="720" w:gutter="0"/>
          <w:cols w:space="720" w:num="1"/>
        </w:sectPr>
      </w:pPr>
    </w:p>
    <w:p>
      <w:pPr>
        <w:rPr>
          <w:rFonts w:ascii="Times New Roman" w:hAnsi="Times New Roman" w:eastAsia="Times New Roman" w:cs="Times New Roman"/>
          <w:vanish/>
          <w:kern w:val="0"/>
          <w:sz w:val="24"/>
        </w:rPr>
      </w:pPr>
      <w:r>
        <w:rPr>
          <w:rFonts w:ascii="Times New Roman" w:hAnsi="Times New Roman" w:eastAsia="Times New Roman" w:cs="Times New Roman"/>
          <w:kern w:val="0"/>
          <w:sz w:val="24"/>
        </w:rPr>
        <w:t> </w:t>
      </w:r>
    </w:p>
    <w:p>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2" w:name="_Toc256000065"/>
      <w:r>
        <w:rPr>
          <w:rFonts w:ascii="黑体" w:hAnsi="黑体" w:eastAsia="黑体" w:cs="黑体"/>
          <w:b w:val="0"/>
          <w:bCs w:val="0"/>
          <w:spacing w:val="0"/>
        </w:rPr>
        <w:t>七、一般公共预算财政拨款“三公”经费支出决算表</w:t>
      </w:r>
      <w:bookmarkEnd w:id="12"/>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22"/>
        <w:tblW w:w="15159" w:type="dxa"/>
        <w:tblInd w:w="20" w:type="dxa"/>
        <w:tblLayout w:type="fixed"/>
        <w:tblCellMar>
          <w:top w:w="0" w:type="dxa"/>
          <w:left w:w="108" w:type="dxa"/>
          <w:bottom w:w="0" w:type="dxa"/>
          <w:right w:w="108" w:type="dxa"/>
        </w:tblCellMar>
      </w:tblPr>
      <w:tblGrid>
        <w:gridCol w:w="5053"/>
        <w:gridCol w:w="5053"/>
        <w:gridCol w:w="5053"/>
      </w:tblGrid>
      <w:tr>
        <w:tblPrEx>
          <w:tblLayout w:type="fixed"/>
          <w:tblCellMar>
            <w:top w:w="0" w:type="dxa"/>
            <w:left w:w="108" w:type="dxa"/>
            <w:bottom w:w="0" w:type="dxa"/>
            <w:right w:w="108" w:type="dxa"/>
          </w:tblCellMar>
        </w:tblPrEx>
        <w:trPr>
          <w:cantSplit/>
          <w:tblHeader/>
        </w:trPr>
        <w:tc>
          <w:tcPr>
            <w:tcW w:w="15159" w:type="dxa"/>
            <w:gridSpan w:val="3"/>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一般公共预算财政拨款“三公”经费支出决算表</w:t>
            </w:r>
          </w:p>
        </w:tc>
      </w:tr>
      <w:tr>
        <w:tblPrEx>
          <w:tblLayout w:type="fixed"/>
          <w:tblCellMar>
            <w:top w:w="0" w:type="dxa"/>
            <w:left w:w="108" w:type="dxa"/>
            <w:bottom w:w="0" w:type="dxa"/>
            <w:right w:w="108" w:type="dxa"/>
          </w:tblCellMar>
        </w:tblPrEx>
        <w:trPr>
          <w:cantSplit/>
          <w:tblHeader/>
        </w:trPr>
        <w:tc>
          <w:tcPr>
            <w:tcW w:w="10106"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053"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公开07表</w:t>
            </w:r>
          </w:p>
        </w:tc>
      </w:tr>
      <w:tr>
        <w:tblPrEx>
          <w:tblLayout w:type="fixed"/>
          <w:tblCellMar>
            <w:top w:w="0" w:type="dxa"/>
            <w:left w:w="108" w:type="dxa"/>
            <w:bottom w:w="0" w:type="dxa"/>
            <w:right w:w="108" w:type="dxa"/>
          </w:tblCellMar>
        </w:tblPrEx>
        <w:trPr>
          <w:cantSplit/>
          <w:tblHeader/>
        </w:trPr>
        <w:tc>
          <w:tcPr>
            <w:tcW w:w="10106" w:type="dxa"/>
            <w:gridSpan w:val="2"/>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编制单位：中共闽清县委宣传部</w:t>
            </w:r>
          </w:p>
        </w:tc>
        <w:tc>
          <w:tcPr>
            <w:tcW w:w="5053"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Layout w:type="fixed"/>
          <w:tblCellMar>
            <w:top w:w="0" w:type="dxa"/>
            <w:left w:w="108" w:type="dxa"/>
            <w:bottom w:w="0" w:type="dxa"/>
            <w:right w:w="108" w:type="dxa"/>
          </w:tblCellMar>
        </w:tblPrEx>
        <w:trPr>
          <w:cantSplit/>
          <w:tblHeader/>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行次</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tblPrEx>
          <w:tblLayout w:type="fixed"/>
          <w:tblCellMar>
            <w:top w:w="0" w:type="dxa"/>
            <w:left w:w="108" w:type="dxa"/>
            <w:bottom w:w="0" w:type="dxa"/>
            <w:right w:w="108" w:type="dxa"/>
          </w:tblCellMar>
        </w:tblPrEx>
        <w:trPr>
          <w:cantSplit/>
          <w:tblHeader/>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1.33</w:t>
            </w:r>
          </w:p>
        </w:tc>
      </w:tr>
      <w:tr>
        <w:tblPrEx>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 因公出国（境）费用</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 公务用车购置及运行维护费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其中：（1）公务用车购置费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（2）公务用车运行维护费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 公务接待费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1.33</w:t>
            </w:r>
          </w:p>
        </w:tc>
      </w:tr>
      <w:tr>
        <w:tblPrEx>
          <w:tblLayout w:type="fixed"/>
          <w:tblCellMar>
            <w:top w:w="0" w:type="dxa"/>
            <w:left w:w="108" w:type="dxa"/>
            <w:bottom w:w="0" w:type="dxa"/>
            <w:right w:w="108" w:type="dxa"/>
          </w:tblCellMar>
        </w:tblPrEx>
        <w:trPr>
          <w:cantSplit/>
        </w:trPr>
        <w:tc>
          <w:tcPr>
            <w:tcW w:w="15159" w:type="dxa"/>
            <w:gridSpan w:val="3"/>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注：1.本表反映部门本年度“三公”经费支出决算情况，包括当年一般公共预算财政拨款和以前年度结转资金安排的实际支出。</w:t>
            </w:r>
          </w:p>
        </w:tc>
      </w:tr>
      <w:tr>
        <w:tblPrEx>
          <w:tblLayout w:type="fixed"/>
          <w:tblCellMar>
            <w:top w:w="0" w:type="dxa"/>
            <w:left w:w="108" w:type="dxa"/>
            <w:bottom w:w="0" w:type="dxa"/>
            <w:right w:w="108" w:type="dxa"/>
          </w:tblCellMar>
        </w:tblPrEx>
        <w:trPr>
          <w:cantSplit/>
        </w:trPr>
        <w:tc>
          <w:tcPr>
            <w:tcW w:w="15159" w:type="dxa"/>
            <w:gridSpan w:val="3"/>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Layout w:type="fixed"/>
          <w:tblCellMar>
            <w:top w:w="0" w:type="dxa"/>
            <w:left w:w="108" w:type="dxa"/>
            <w:bottom w:w="0" w:type="dxa"/>
            <w:right w:w="108" w:type="dxa"/>
          </w:tblCellMar>
        </w:tblPrEx>
        <w:trPr>
          <w:cantSplit/>
        </w:trPr>
        <w:tc>
          <w:tcPr>
            <w:tcW w:w="15159" w:type="dxa"/>
            <w:gridSpan w:val="3"/>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5" w:type="default"/>
          <w:pgSz w:w="16383" w:h="11906" w:orient="landscape"/>
          <w:pgMar w:top="1134" w:right="720" w:bottom="1134" w:left="720" w:header="720" w:footer="720" w:gutter="0"/>
          <w:cols w:space="720" w:num="1"/>
        </w:sectPr>
      </w:pPr>
    </w:p>
    <w:p>
      <w:pPr>
        <w:rPr>
          <w:rFonts w:ascii="Times New Roman" w:hAnsi="Times New Roman" w:eastAsia="Times New Roman" w:cs="Times New Roman"/>
          <w:vanish/>
          <w:kern w:val="0"/>
          <w:sz w:val="24"/>
        </w:rPr>
      </w:pPr>
      <w:r>
        <w:rPr>
          <w:rFonts w:ascii="Times New Roman" w:hAnsi="Times New Roman" w:eastAsia="Times New Roman" w:cs="Times New Roman"/>
          <w:kern w:val="0"/>
          <w:sz w:val="24"/>
        </w:rPr>
        <w:t> </w:t>
      </w:r>
    </w:p>
    <w:p>
      <w:pPr>
        <w:pStyle w:val="28"/>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kern w:val="0"/>
          <w:sz w:val="24"/>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3" w:name="_Toc256000066"/>
      <w:r>
        <w:rPr>
          <w:rFonts w:ascii="黑体" w:hAnsi="黑体" w:eastAsia="黑体" w:cs="黑体"/>
          <w:b w:val="0"/>
          <w:bCs w:val="0"/>
          <w:spacing w:val="0"/>
        </w:rPr>
        <w:t>八、政府性基金预算财政拨款收入支出决算表</w:t>
      </w:r>
      <w:bookmarkEnd w:id="13"/>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gk08</w:t>
      </w:r>
    </w:p>
    <w:tbl>
      <w:tblPr>
        <w:tblStyle w:val="22"/>
        <w:tblW w:w="15159" w:type="dxa"/>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tblPrEx>
          <w:tblLayout w:type="fixed"/>
          <w:tblCellMar>
            <w:top w:w="0" w:type="dxa"/>
            <w:left w:w="108" w:type="dxa"/>
            <w:bottom w:w="0" w:type="dxa"/>
            <w:right w:w="108" w:type="dxa"/>
          </w:tblCellMar>
        </w:tblPrEx>
        <w:trPr>
          <w:cantSplit/>
          <w:tblHeader/>
        </w:trPr>
        <w:tc>
          <w:tcPr>
            <w:tcW w:w="15159" w:type="dxa"/>
            <w:gridSpan w:val="1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政府性基金预算财政拨款收入支出决算表</w:t>
            </w:r>
          </w:p>
        </w:tc>
      </w:tr>
      <w:tr>
        <w:tblPrEx>
          <w:tblLayout w:type="fixed"/>
          <w:tblCellMar>
            <w:top w:w="0" w:type="dxa"/>
            <w:left w:w="108" w:type="dxa"/>
            <w:bottom w:w="0" w:type="dxa"/>
            <w:right w:w="108" w:type="dxa"/>
          </w:tblCellMar>
        </w:tblPrEx>
        <w:trPr>
          <w:cantSplit/>
          <w:tblHeader/>
        </w:trPr>
        <w:tc>
          <w:tcPr>
            <w:tcW w:w="1258"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629"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公开08表</w:t>
            </w:r>
          </w:p>
        </w:tc>
      </w:tr>
      <w:tr>
        <w:tblPrEx>
          <w:tblLayout w:type="fixed"/>
          <w:tblCellMar>
            <w:top w:w="0" w:type="dxa"/>
            <w:left w:w="108" w:type="dxa"/>
            <w:bottom w:w="0" w:type="dxa"/>
            <w:right w:w="108" w:type="dxa"/>
          </w:tblCellMar>
        </w:tblPrEx>
        <w:trPr>
          <w:cantSplit/>
          <w:tblHeader/>
        </w:trPr>
        <w:tc>
          <w:tcPr>
            <w:tcW w:w="9471" w:type="dxa"/>
            <w:gridSpan w:val="7"/>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编制单位：中共闽清县委宣传部</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Layout w:type="fixed"/>
          <w:tblCellMar>
            <w:top w:w="0" w:type="dxa"/>
            <w:left w:w="108" w:type="dxa"/>
            <w:bottom w:w="0" w:type="dxa"/>
            <w:right w:w="108" w:type="dxa"/>
          </w:tblCellMar>
        </w:tblPrEx>
        <w:trPr>
          <w:cantSplit/>
          <w:tblHeader/>
        </w:trPr>
        <w:tc>
          <w:tcPr>
            <w:tcW w:w="3783"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w:t>
            </w:r>
          </w:p>
        </w:tc>
        <w:tc>
          <w:tcPr>
            <w:tcW w:w="5688"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年末结转和结余</w:t>
            </w:r>
          </w:p>
        </w:tc>
      </w:tr>
      <w:tr>
        <w:tblPrEx>
          <w:tblLayout w:type="fixed"/>
          <w:tblCellMar>
            <w:top w:w="0" w:type="dxa"/>
            <w:left w:w="108" w:type="dxa"/>
            <w:bottom w:w="0" w:type="dxa"/>
            <w:right w:w="108" w:type="dxa"/>
          </w:tblCellMar>
        </w:tblPrEx>
        <w:trPr>
          <w:cantSplit/>
          <w:tblHeader/>
        </w:trPr>
        <w:tc>
          <w:tcPr>
            <w:tcW w:w="1887" w:type="dxa"/>
            <w:gridSpan w:val="3"/>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基本支出 </w:t>
            </w:r>
          </w:p>
        </w:tc>
        <w:tc>
          <w:tcPr>
            <w:tcW w:w="1896"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Layout w:type="fixed"/>
          <w:tblCellMar>
            <w:top w:w="0" w:type="dxa"/>
            <w:left w:w="108" w:type="dxa"/>
            <w:bottom w:w="0" w:type="dxa"/>
            <w:right w:w="108" w:type="dxa"/>
          </w:tblCellMar>
        </w:tblPrEx>
        <w:trPr>
          <w:cantSplit/>
          <w:tblHeader/>
        </w:trPr>
        <w:tc>
          <w:tcPr>
            <w:tcW w:w="1887"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Layout w:type="fixed"/>
          <w:tblCellMar>
            <w:top w:w="0" w:type="dxa"/>
            <w:left w:w="108" w:type="dxa"/>
            <w:bottom w:w="0" w:type="dxa"/>
            <w:right w:w="108" w:type="dxa"/>
          </w:tblCellMar>
        </w:tblPrEx>
        <w:trPr>
          <w:cantSplit/>
          <w:tblHeader/>
        </w:trPr>
        <w:tc>
          <w:tcPr>
            <w:tcW w:w="629"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629"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629"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r>
      <w:tr>
        <w:tblPrEx>
          <w:tblLayout w:type="fixed"/>
          <w:tblCellMar>
            <w:top w:w="0" w:type="dxa"/>
            <w:left w:w="108" w:type="dxa"/>
            <w:bottom w:w="0" w:type="dxa"/>
            <w:right w:w="108" w:type="dxa"/>
          </w:tblCellMar>
        </w:tblPrEx>
        <w:trPr>
          <w:cantSplit/>
        </w:trPr>
        <w:tc>
          <w:tcPr>
            <w:tcW w:w="62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62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62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文化旅游体育与传媒支出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国家电影事业发展专项资金安排的支出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2070799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其他国家电影事业发展专项资金支出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5159" w:type="dxa"/>
            <w:gridSpan w:val="1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 本表反映部门本年度政府性基金预算财政拨款收入、支出及结转和结余情况。</w:t>
            </w:r>
          </w:p>
        </w:tc>
      </w:tr>
      <w:tr>
        <w:tblPrEx>
          <w:tblLayout w:type="fixed"/>
          <w:tblCellMar>
            <w:top w:w="0" w:type="dxa"/>
            <w:left w:w="108" w:type="dxa"/>
            <w:bottom w:w="0" w:type="dxa"/>
            <w:right w:w="108" w:type="dxa"/>
          </w:tblCellMar>
        </w:tblPrEx>
        <w:trPr>
          <w:cantSplit/>
        </w:trPr>
        <w:tc>
          <w:tcPr>
            <w:tcW w:w="15159" w:type="dxa"/>
            <w:gridSpan w:val="1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6" w:type="default"/>
          <w:pgSz w:w="16383" w:h="11906" w:orient="landscape"/>
          <w:pgMar w:top="1134" w:right="720" w:bottom="1134" w:left="720" w:header="720" w:footer="720" w:gutter="0"/>
          <w:cols w:space="720" w:num="1"/>
        </w:sectPr>
      </w:pPr>
    </w:p>
    <w:p>
      <w:pPr>
        <w:rPr>
          <w:rFonts w:ascii="Times New Roman" w:hAnsi="Times New Roman" w:eastAsia="Times New Roman" w:cs="Times New Roman"/>
          <w:vanish/>
          <w:kern w:val="0"/>
          <w:sz w:val="24"/>
        </w:rPr>
      </w:pPr>
      <w:r>
        <w:rPr>
          <w:rFonts w:ascii="Times New Roman" w:hAnsi="Times New Roman" w:eastAsia="Times New Roman" w:cs="Times New Roman"/>
          <w:kern w:val="0"/>
          <w:sz w:val="24"/>
        </w:rPr>
        <w:t> </w:t>
      </w:r>
    </w:p>
    <w:p>
      <w:pPr>
        <w:pStyle w:val="28"/>
        <w:widowControl/>
        <w:spacing w:before="240" w:after="240"/>
        <w:jc w:val="left"/>
        <w:rPr>
          <w:rFonts w:ascii="Times New Roman" w:hAnsi="Times New Roman" w:eastAsia="Times New Roman" w:cs="Times New Roman"/>
          <w:kern w:val="0"/>
          <w:sz w:val="24"/>
        </w:rPr>
      </w:pPr>
      <w:r>
        <w:rPr>
          <w:rFonts w:ascii="宋体" w:hAnsi="宋体" w:eastAsia="宋体" w:cs="宋体"/>
          <w:spacing w:val="0"/>
          <w:kern w:val="0"/>
          <w:sz w:val="24"/>
        </w:rPr>
        <w:t> </w:t>
      </w:r>
      <w:r>
        <w:rPr>
          <w:rFonts w:ascii="宋体" w:hAnsi="宋体" w:eastAsia="宋体" w:cs="宋体"/>
          <w:kern w:val="0"/>
          <w:sz w:val="24"/>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4" w:name="_Toc256000067"/>
      <w:r>
        <w:rPr>
          <w:rFonts w:ascii="黑体" w:hAnsi="黑体" w:eastAsia="黑体" w:cs="黑体"/>
          <w:b w:val="0"/>
          <w:bCs w:val="0"/>
          <w:spacing w:val="0"/>
        </w:rPr>
        <w:t>九、国有资本经营预算财政拨款支出决算表</w:t>
      </w:r>
      <w:bookmarkEnd w:id="14"/>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gk09</w:t>
      </w:r>
    </w:p>
    <w:tbl>
      <w:tblPr>
        <w:tblStyle w:val="22"/>
        <w:tblW w:w="15159" w:type="dxa"/>
        <w:tblInd w:w="20" w:type="dxa"/>
        <w:tblLayout w:type="fixed"/>
        <w:tblCellMar>
          <w:top w:w="0" w:type="dxa"/>
          <w:left w:w="108" w:type="dxa"/>
          <w:bottom w:w="0" w:type="dxa"/>
          <w:right w:w="108" w:type="dxa"/>
        </w:tblCellMar>
      </w:tblPr>
      <w:tblGrid>
        <w:gridCol w:w="3031"/>
        <w:gridCol w:w="3032"/>
        <w:gridCol w:w="3032"/>
        <w:gridCol w:w="3032"/>
        <w:gridCol w:w="3032"/>
      </w:tblGrid>
      <w:tr>
        <w:tblPrEx>
          <w:tblLayout w:type="fixed"/>
          <w:tblCellMar>
            <w:top w:w="0" w:type="dxa"/>
            <w:left w:w="108" w:type="dxa"/>
            <w:bottom w:w="0" w:type="dxa"/>
            <w:right w:w="108" w:type="dxa"/>
          </w:tblCellMar>
        </w:tblPrEx>
        <w:trPr>
          <w:cantSplit/>
          <w:tblHeader/>
        </w:trPr>
        <w:tc>
          <w:tcPr>
            <w:tcW w:w="15159" w:type="dxa"/>
            <w:gridSpan w:val="5"/>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国有资本经营预算财政拨款支出决算表</w:t>
            </w:r>
          </w:p>
        </w:tc>
      </w:tr>
      <w:tr>
        <w:tblPrEx>
          <w:tblLayout w:type="fixed"/>
          <w:tblCellMar>
            <w:top w:w="0" w:type="dxa"/>
            <w:left w:w="108" w:type="dxa"/>
            <w:bottom w:w="0" w:type="dxa"/>
            <w:right w:w="108" w:type="dxa"/>
          </w:tblCellMar>
        </w:tblPrEx>
        <w:trPr>
          <w:cantSplit/>
          <w:tblHeader/>
        </w:trPr>
        <w:tc>
          <w:tcPr>
            <w:tcW w:w="6063"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032"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032"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032"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公开09表</w:t>
            </w:r>
          </w:p>
        </w:tc>
      </w:tr>
      <w:tr>
        <w:tblPrEx>
          <w:tblLayout w:type="fixed"/>
          <w:tblCellMar>
            <w:top w:w="0" w:type="dxa"/>
            <w:left w:w="108" w:type="dxa"/>
            <w:bottom w:w="0" w:type="dxa"/>
            <w:right w:w="108" w:type="dxa"/>
          </w:tblCellMar>
        </w:tblPrEx>
        <w:trPr>
          <w:cantSplit/>
          <w:tblHeader/>
        </w:trPr>
        <w:tc>
          <w:tcPr>
            <w:tcW w:w="12127" w:type="dxa"/>
            <w:gridSpan w:val="4"/>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编制单位：中共闽清县委宣传部</w:t>
            </w:r>
          </w:p>
        </w:tc>
        <w:tc>
          <w:tcPr>
            <w:tcW w:w="3032"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Layout w:type="fixed"/>
          <w:tblCellMar>
            <w:top w:w="0" w:type="dxa"/>
            <w:left w:w="108" w:type="dxa"/>
            <w:bottom w:w="0" w:type="dxa"/>
            <w:right w:w="108" w:type="dxa"/>
          </w:tblCellMar>
        </w:tblPrEx>
        <w:trPr>
          <w:cantSplit/>
          <w:tblHeader/>
        </w:trPr>
        <w:tc>
          <w:tcPr>
            <w:tcW w:w="606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 目</w:t>
            </w:r>
          </w:p>
        </w:tc>
        <w:tc>
          <w:tcPr>
            <w:tcW w:w="9096"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tblPrEx>
          <w:tblLayout w:type="fixed"/>
          <w:tblCellMar>
            <w:top w:w="0" w:type="dxa"/>
            <w:left w:w="108" w:type="dxa"/>
            <w:bottom w:w="0" w:type="dxa"/>
            <w:right w:w="108" w:type="dxa"/>
          </w:tblCellMar>
        </w:tblPrEx>
        <w:trPr>
          <w:cantSplit/>
          <w:tblHeader/>
        </w:trPr>
        <w:tc>
          <w:tcPr>
            <w:tcW w:w="3031"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3032"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3032"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3032"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3032"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tblPrEx>
          <w:tblLayout w:type="fixed"/>
          <w:tblCellMar>
            <w:top w:w="0" w:type="dxa"/>
            <w:left w:w="108" w:type="dxa"/>
            <w:bottom w:w="0" w:type="dxa"/>
            <w:right w:w="108" w:type="dxa"/>
          </w:tblCellMar>
        </w:tblPrEx>
        <w:trPr>
          <w:cantSplit/>
          <w:tblHeader/>
        </w:trPr>
        <w:tc>
          <w:tcPr>
            <w:tcW w:w="3031"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Layout w:type="fixed"/>
          <w:tblCellMar>
            <w:top w:w="0" w:type="dxa"/>
            <w:left w:w="108" w:type="dxa"/>
            <w:bottom w:w="0" w:type="dxa"/>
            <w:right w:w="108" w:type="dxa"/>
          </w:tblCellMar>
        </w:tblPrEx>
        <w:trPr>
          <w:cantSplit/>
          <w:tblHeader/>
        </w:trPr>
        <w:tc>
          <w:tcPr>
            <w:tcW w:w="3031"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Layout w:type="fixed"/>
          <w:tblCellMar>
            <w:top w:w="0" w:type="dxa"/>
            <w:left w:w="108" w:type="dxa"/>
            <w:bottom w:w="0" w:type="dxa"/>
            <w:right w:w="108" w:type="dxa"/>
          </w:tblCellMar>
        </w:tblPrEx>
        <w:trPr>
          <w:cantSplit/>
          <w:tblHeader/>
        </w:trPr>
        <w:tc>
          <w:tcPr>
            <w:tcW w:w="606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r>
      <w:tr>
        <w:tblPrEx>
          <w:tblLayout w:type="fixed"/>
          <w:tblCellMar>
            <w:top w:w="0" w:type="dxa"/>
            <w:left w:w="108" w:type="dxa"/>
            <w:bottom w:w="0" w:type="dxa"/>
            <w:right w:w="108" w:type="dxa"/>
          </w:tblCellMar>
        </w:tblPrEx>
        <w:trPr>
          <w:cantSplit/>
          <w:tblHeader/>
        </w:trPr>
        <w:tc>
          <w:tcPr>
            <w:tcW w:w="606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3031"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Layout w:type="fixed"/>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Layout w:type="fixed"/>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注：本部门2025年度没有使用国有资本经营预算财政拨款安排的支出。</w:t>
            </w:r>
          </w:p>
        </w:tc>
      </w:tr>
    </w:tbl>
    <w:p>
      <w:pPr>
        <w:sectPr>
          <w:footerReference r:id="rId17"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8"/>
        <w:widowControl/>
        <w:spacing w:before="240" w:after="100" w:line="560" w:lineRule="atLeast"/>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8"/>
        <w:widowControl/>
        <w:spacing w:before="100" w:after="100" w:line="560" w:lineRule="atLeast"/>
        <w:ind w:left="100" w:right="100" w:firstLine="0"/>
        <w:jc w:val="center"/>
        <w:rPr>
          <w:rFonts w:ascii="Times New Roman" w:hAnsi="Times New Roman" w:eastAsia="Times New Roman" w:cs="Times New Roman"/>
          <w:kern w:val="0"/>
          <w:sz w:val="24"/>
        </w:rPr>
      </w:pPr>
    </w:p>
    <w:p>
      <w:pPr>
        <w:pStyle w:val="28"/>
        <w:widowControl/>
        <w:spacing w:before="100" w:after="100" w:line="560" w:lineRule="atLeast"/>
        <w:ind w:left="100" w:right="100" w:firstLine="0"/>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8"/>
        <w:widowControl/>
        <w:spacing w:before="100" w:after="100" w:line="560" w:lineRule="atLeast"/>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8"/>
        <w:widowControl/>
        <w:spacing w:before="100" w:after="100"/>
        <w:ind w:left="100" w:right="100" w:firstLine="0"/>
        <w:jc w:val="left"/>
        <w:rPr>
          <w:rFonts w:ascii="Times New Roman" w:hAnsi="Times New Roman" w:eastAsia="Times New Roman" w:cs="Times New Roman"/>
          <w:kern w:val="0"/>
          <w:sz w:val="24"/>
        </w:rPr>
      </w:pPr>
      <w:r>
        <w:rPr>
          <w:rFonts w:ascii="Calibri" w:hAnsi="Calibri" w:eastAsia="Calibri" w:cs="Calibri"/>
          <w:spacing w:val="0"/>
          <w:kern w:val="0"/>
          <w:szCs w:val="21"/>
        </w:rPr>
        <w:t> </w:t>
      </w:r>
      <w:r>
        <w:rPr>
          <w:rFonts w:ascii="宋体" w:hAnsi="宋体" w:eastAsia="宋体" w:cs="宋体"/>
          <w:spacing w:val="0"/>
          <w:kern w:val="0"/>
          <w:sz w:val="36"/>
          <w:szCs w:val="36"/>
        </w:rPr>
        <w:t> </w:t>
      </w:r>
    </w:p>
    <w:p>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5" w:name="_Toc256000068"/>
      <w:r>
        <w:rPr>
          <w:rFonts w:ascii="黑体" w:hAnsi="黑体" w:eastAsia="黑体" w:cs="黑体"/>
          <w:b w:val="0"/>
          <w:bCs w:val="0"/>
          <w:spacing w:val="0"/>
          <w:sz w:val="56"/>
          <w:szCs w:val="56"/>
        </w:rPr>
        <w:t>第三部分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2025年度部门决算情况说明</w:t>
      </w:r>
      <w:bookmarkEnd w:id="15"/>
    </w:p>
    <w:p>
      <w:pPr>
        <w:widowControl/>
        <w:spacing w:before="240" w:after="240"/>
        <w:jc w:val="left"/>
        <w:rPr>
          <w:rFonts w:ascii="Times New Roman" w:hAnsi="Times New Roman" w:eastAsia="Times New Roman" w:cs="Times New Roman"/>
          <w:kern w:val="0"/>
          <w:sz w:val="24"/>
        </w:rPr>
      </w:pPr>
    </w:p>
    <w:p>
      <w:pPr>
        <w:sectPr>
          <w:footerReference r:id="rId18"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6" w:name="_Toc256000069"/>
      <w:r>
        <w:rPr>
          <w:rFonts w:ascii="黑体" w:hAnsi="黑体" w:eastAsia="黑体" w:cs="黑体"/>
          <w:b w:val="0"/>
          <w:bCs w:val="0"/>
          <w:spacing w:val="0"/>
        </w:rPr>
        <w:t>一、收入支出决算总体情况说明</w:t>
      </w:r>
      <w:bookmarkEnd w:id="16"/>
      <w:r>
        <w:rPr>
          <w:rFonts w:ascii="黑体" w:hAnsi="黑体" w:eastAsia="黑体" w:cs="黑体"/>
          <w:b w:val="0"/>
          <w:bCs w:val="0"/>
          <w:spacing w:val="0"/>
        </w:rPr>
        <w:t> </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（一）收入支出决算总体情况说明</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2025年度本部门收入总计1307.18万元，支出总计1307.18万元，与上年决算数相比，</w:t>
      </w:r>
      <w:r>
        <w:rPr>
          <w:rFonts w:ascii="FangSong_GB2312" w:hAnsi="FangSong_GB2312" w:eastAsia="FangSong_GB2312" w:cs="FangSong_GB2312"/>
          <w:color w:val="auto"/>
          <w:spacing w:val="0"/>
          <w:kern w:val="0"/>
          <w:sz w:val="32"/>
          <w:szCs w:val="32"/>
        </w:rPr>
        <w:t>各减少15.00万元，下降1.13%。</w:t>
      </w:r>
      <w:r>
        <w:rPr>
          <w:rFonts w:ascii="FangSong_GB2312" w:hAnsi="FangSong_GB2312" w:eastAsia="FangSong_GB2312" w:cs="FangSong_GB2312"/>
          <w:spacing w:val="0"/>
          <w:kern w:val="0"/>
          <w:sz w:val="32"/>
          <w:szCs w:val="32"/>
        </w:rPr>
        <w:t>主要是</w:t>
      </w:r>
      <w:r>
        <w:rPr>
          <w:rFonts w:hint="eastAsia" w:ascii="FangSong_GB2312" w:hAnsi="FangSong_GB2312" w:eastAsia="FangSong_GB2312" w:cs="FangSong_GB2312"/>
          <w:spacing w:val="0"/>
          <w:kern w:val="0"/>
          <w:sz w:val="32"/>
          <w:szCs w:val="32"/>
          <w:lang w:eastAsia="zh-CN"/>
        </w:rPr>
        <w:t>机构改革，受人员变动、日常公用经费等支出有所变动，整体收入支出较上年略有减少</w:t>
      </w:r>
      <w:r>
        <w:rPr>
          <w:rFonts w:ascii="FangSong_GB2312" w:hAnsi="FangSong_GB2312" w:eastAsia="FangSong_GB2312" w:cs="FangSong_GB2312"/>
          <w:spacing w:val="0"/>
          <w:kern w:val="0"/>
          <w:sz w:val="32"/>
          <w:szCs w:val="32"/>
        </w:rPr>
        <w:t>。</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（二）收入决算情况说明</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2025年度收入1300.89万元，比上年决算数增加8.49万元，增长0.66%，具体情况如下：</w:t>
      </w:r>
      <w:bookmarkStart w:id="27" w:name="_GoBack"/>
      <w:bookmarkEnd w:id="27"/>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1.一般公共预算财政拨款收入1262.75万元。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2.政府性基金预算财政拨款收入31.24万元。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3.国有资本经营预算财政拨款收入0万元。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4.上级补助收入0万元。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5.事业收入0万元。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6.经营收入0万元。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7.附属单位上缴收入0万元。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8.其他收入6.90万元。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（三）支出决算情况说明</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2025年度支出1306.10万元，比上年决算数减少9.68万元，下降0.74%，具体情况如下：</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1.基本支出558.48万元。其中，人员支出490.43万元，公用支出68.05万元。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2.项目支出747.62万元。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3.上缴上级支出0万元。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4.经营支出0万元。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5.对附属单位补助支出0万元。</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7" w:name="_Toc256000070"/>
      <w:r>
        <w:rPr>
          <w:rFonts w:ascii="黑体" w:hAnsi="黑体" w:eastAsia="黑体" w:cs="黑体"/>
          <w:b w:val="0"/>
          <w:bCs w:val="0"/>
          <w:spacing w:val="0"/>
        </w:rPr>
        <w:t>二、财政拨款收入支出决算总体情况说明</w:t>
      </w:r>
      <w:bookmarkEnd w:id="17"/>
      <w:r>
        <w:rPr>
          <w:rFonts w:ascii="黑体" w:hAnsi="黑体" w:eastAsia="黑体" w:cs="黑体"/>
          <w:b w:val="0"/>
          <w:bCs w:val="0"/>
          <w:spacing w:val="0"/>
        </w:rPr>
        <w:t> </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2025年度财政拨款收入总计1293.99万元，支出总计 1293.99万元，与上年决算数相比，各减少0.63万元，下降0.05%，主要是：</w:t>
      </w:r>
      <w:r>
        <w:rPr>
          <w:rFonts w:hint="eastAsia" w:ascii="FangSong_GB2312" w:hAnsi="FangSong_GB2312" w:eastAsia="FangSong_GB2312" w:cs="FangSong_GB2312"/>
          <w:spacing w:val="0"/>
          <w:kern w:val="0"/>
          <w:sz w:val="32"/>
          <w:szCs w:val="32"/>
          <w:lang w:eastAsia="zh-CN"/>
        </w:rPr>
        <w:t>因机构改革，受人员变动、日常公用经费等支出较上年略有减少</w:t>
      </w:r>
      <w:r>
        <w:rPr>
          <w:rFonts w:ascii="FangSong_GB2312" w:hAnsi="FangSong_GB2312" w:eastAsia="FangSong_GB2312" w:cs="FangSong_GB2312"/>
          <w:spacing w:val="0"/>
          <w:kern w:val="0"/>
          <w:sz w:val="32"/>
          <w:szCs w:val="32"/>
        </w:rPr>
        <w:t>。</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8" w:name="_Toc256000071"/>
      <w:r>
        <w:rPr>
          <w:rFonts w:ascii="黑体" w:hAnsi="黑体" w:eastAsia="黑体" w:cs="黑体"/>
          <w:b w:val="0"/>
          <w:bCs w:val="0"/>
          <w:spacing w:val="0"/>
        </w:rPr>
        <w:t>三、一般公共预算财政拨款支出决算情况说明</w:t>
      </w:r>
      <w:bookmarkEnd w:id="18"/>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2025年度一般公共预算财政拨款支出1262.75万元，比上年决算数减少30.41万元，下降2.35%，具体情况如下(按项级科目分类统计)：</w:t>
      </w:r>
    </w:p>
    <w:p>
      <w:pPr>
        <w:pStyle w:val="28"/>
        <w:widowControl/>
        <w:spacing w:before="100" w:after="100" w:line="560" w:lineRule="atLeast"/>
        <w:ind w:left="100" w:right="100" w:firstLine="640"/>
        <w:jc w:val="left"/>
        <w:rPr>
          <w:rFonts w:hint="eastAsia" w:ascii="FangSong_GB2312" w:hAnsi="FangSong_GB2312" w:eastAsia="FangSong_GB2312" w:cs="FangSong_GB2312"/>
          <w:spacing w:val="0"/>
          <w:kern w:val="0"/>
          <w:sz w:val="32"/>
          <w:szCs w:val="32"/>
          <w:lang w:eastAsia="zh-CN"/>
        </w:rPr>
      </w:pPr>
      <w:r>
        <w:rPr>
          <w:rFonts w:ascii="FangSong_GB2312" w:hAnsi="FangSong_GB2312" w:eastAsia="FangSong_GB2312" w:cs="FangSong_GB2312"/>
          <w:spacing w:val="0"/>
          <w:kern w:val="0"/>
          <w:sz w:val="32"/>
          <w:szCs w:val="32"/>
        </w:rPr>
        <w:t>  （一）2013301 行政运行 318.72万元，较上年决算数增加63.39万元，增长24.83%。主要原因是</w:t>
      </w:r>
      <w:r>
        <w:rPr>
          <w:rFonts w:hint="eastAsia" w:ascii="FangSong_GB2312" w:hAnsi="FangSong_GB2312" w:eastAsia="FangSong_GB2312" w:cs="FangSong_GB2312"/>
          <w:spacing w:val="0"/>
          <w:kern w:val="0"/>
          <w:sz w:val="32"/>
          <w:szCs w:val="32"/>
          <w:lang w:eastAsia="zh-CN"/>
        </w:rPr>
        <w:t>机构改革，文明办并入宣传部，行政人员增加。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  （二）2013302 一般行政管理事务 6.70万元，较上年决算数减少0.07万元，下降1.09%。主要原因是</w:t>
      </w:r>
      <w:r>
        <w:rPr>
          <w:rFonts w:hint="eastAsia" w:ascii="FangSong_GB2312" w:hAnsi="FangSong_GB2312" w:eastAsia="FangSong_GB2312" w:cs="FangSong_GB2312"/>
          <w:spacing w:val="0"/>
          <w:kern w:val="0"/>
          <w:sz w:val="32"/>
          <w:szCs w:val="32"/>
          <w:lang w:eastAsia="zh-CN"/>
        </w:rPr>
        <w:t>机构改革，受人员变动、日常公用经费等支出较上年略有减少</w:t>
      </w:r>
      <w:r>
        <w:rPr>
          <w:rFonts w:ascii="FangSong_GB2312" w:hAnsi="FangSong_GB2312" w:eastAsia="FangSong_GB2312" w:cs="FangSong_GB2312"/>
          <w:spacing w:val="0"/>
          <w:kern w:val="0"/>
          <w:sz w:val="32"/>
          <w:szCs w:val="32"/>
        </w:rPr>
        <w:t>。</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  （三）2013350 事业运行 36.28万元，较上年决算数增加36.28万元。主要原因是</w:t>
      </w:r>
      <w:r>
        <w:rPr>
          <w:rFonts w:hint="eastAsia" w:ascii="FangSong_GB2312" w:hAnsi="FangSong_GB2312" w:eastAsia="FangSong_GB2312" w:cs="FangSong_GB2312"/>
          <w:spacing w:val="0"/>
          <w:kern w:val="0"/>
          <w:sz w:val="32"/>
          <w:szCs w:val="32"/>
          <w:lang w:eastAsia="zh-CN"/>
        </w:rPr>
        <w:t>机构改革，文明办下属事业单位并入宣传部，事业人员增加。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  （四）2013399 其他宣传事务支出 617.89万元，较上年决算数增加78.02万元，增长14.45%。主要原因是</w:t>
      </w:r>
      <w:r>
        <w:rPr>
          <w:rFonts w:hint="eastAsia" w:ascii="FangSong_GB2312" w:hAnsi="FangSong_GB2312" w:eastAsia="FangSong_GB2312" w:cs="FangSong_GB2312"/>
          <w:spacing w:val="0"/>
          <w:kern w:val="0"/>
          <w:sz w:val="32"/>
          <w:szCs w:val="32"/>
          <w:lang w:eastAsia="zh-CN"/>
        </w:rPr>
        <w:t>原文明办划转并入我单位，编制及实有人员随之增加，基本支出和项目支出相应增加。</w:t>
      </w:r>
    </w:p>
    <w:p>
      <w:pPr>
        <w:pStyle w:val="28"/>
        <w:widowControl/>
        <w:spacing w:before="100" w:after="100" w:line="560" w:lineRule="atLeast"/>
        <w:ind w:left="100" w:right="100" w:firstLine="640"/>
        <w:jc w:val="left"/>
        <w:rPr>
          <w:rFonts w:hint="eastAsia" w:ascii="FangSong_GB2312" w:hAnsi="FangSong_GB2312" w:eastAsia="FangSong_GB2312" w:cs="FangSong_GB2312"/>
          <w:spacing w:val="0"/>
          <w:kern w:val="0"/>
          <w:sz w:val="32"/>
          <w:szCs w:val="32"/>
          <w:lang w:eastAsia="zh-CN"/>
        </w:rPr>
      </w:pPr>
      <w:r>
        <w:rPr>
          <w:rFonts w:ascii="FangSong_GB2312" w:hAnsi="FangSong_GB2312" w:eastAsia="FangSong_GB2312" w:cs="FangSong_GB2312"/>
          <w:spacing w:val="0"/>
          <w:kern w:val="0"/>
          <w:sz w:val="32"/>
          <w:szCs w:val="32"/>
        </w:rPr>
        <w:t>（五）2070607 电影 47.04万元，较上年决算数减少21.37万元，下降31.24%。主要原因是</w:t>
      </w:r>
      <w:r>
        <w:rPr>
          <w:rFonts w:hint="eastAsia" w:ascii="FangSong_GB2312" w:hAnsi="FangSong_GB2312" w:eastAsia="FangSong_GB2312" w:cs="FangSong_GB2312"/>
          <w:spacing w:val="0"/>
          <w:kern w:val="0"/>
          <w:sz w:val="32"/>
          <w:szCs w:val="32"/>
          <w:lang w:eastAsia="zh-CN"/>
        </w:rPr>
        <w:t>规范支出科目核算，将原列入本科目的部分电影相关专项经费，调整至“其他文化旅游体育与传媒支出”科目列支，导致本科目决算数减少。</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  （六）2079999 其他文化旅游体育与传媒支出 70.21万元，较上年决算数增加60.21万元，增长602.06%。主要原因是</w:t>
      </w:r>
      <w:r>
        <w:rPr>
          <w:rFonts w:hint="eastAsia" w:ascii="FangSong_GB2312" w:hAnsi="FangSong_GB2312" w:eastAsia="FangSong_GB2312" w:cs="FangSong_GB2312"/>
          <w:spacing w:val="0"/>
          <w:kern w:val="0"/>
          <w:sz w:val="32"/>
          <w:szCs w:val="32"/>
          <w:lang w:eastAsia="zh-CN"/>
        </w:rPr>
        <w:t>根据实际支出内容细化科目，将部分原在“电影”等科目核算的项目资金调整至本科目列支，导致本科目决算数大幅增加。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  （七）2080501 行政单位离退休 39.14万元，较上年决算数增加3.45万元，增长9.66%。主要原因是</w:t>
      </w:r>
      <w:r>
        <w:rPr>
          <w:rFonts w:hint="eastAsia" w:ascii="FangSong_GB2312" w:hAnsi="FangSong_GB2312" w:eastAsia="FangSong_GB2312" w:cs="FangSong_GB2312"/>
          <w:spacing w:val="0"/>
          <w:kern w:val="0"/>
          <w:sz w:val="32"/>
          <w:szCs w:val="32"/>
          <w:lang w:eastAsia="zh-CN"/>
        </w:rPr>
        <w:t>原文明办划转并入我单位，退休人员也随之增加</w:t>
      </w:r>
      <w:r>
        <w:rPr>
          <w:rFonts w:hint="eastAsia" w:ascii="FangSong_GB2312" w:hAnsi="FangSong_GB2312" w:eastAsia="FangSong_GB2312" w:cs="FangSong_GB2312"/>
          <w:spacing w:val="0"/>
          <w:kern w:val="0"/>
          <w:sz w:val="32"/>
          <w:szCs w:val="32"/>
          <w:lang w:val="en-US" w:eastAsia="zh-CN"/>
        </w:rPr>
        <w:t>2名。</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  （八）2080505 机关事业单位基本养老保险缴费支出 38.97万元，较上年决算数减少0.88万元，下降2.21%。主要原因是</w:t>
      </w:r>
      <w:r>
        <w:rPr>
          <w:rFonts w:hint="eastAsia" w:ascii="FangSong_GB2312" w:hAnsi="FangSong_GB2312" w:eastAsia="FangSong_GB2312" w:cs="FangSong_GB2312"/>
          <w:spacing w:val="0"/>
          <w:kern w:val="0"/>
          <w:sz w:val="32"/>
          <w:szCs w:val="32"/>
          <w:lang w:eastAsia="zh-CN"/>
        </w:rPr>
        <w:t>实施机构改革，原文明办划转并入我单位，编制及实有人员随之增加，人员经费支出相应增加。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  （九）2080506 机关事业单位职业年金缴费支出 19.46万元，较上年决算数减少0.46万元，下降2.30%。主要原因是</w:t>
      </w:r>
      <w:r>
        <w:rPr>
          <w:rFonts w:hint="eastAsia" w:ascii="FangSong_GB2312" w:hAnsi="FangSong_GB2312" w:eastAsia="FangSong_GB2312" w:cs="FangSong_GB2312"/>
          <w:spacing w:val="0"/>
          <w:kern w:val="0"/>
          <w:sz w:val="32"/>
          <w:szCs w:val="32"/>
          <w:lang w:eastAsia="zh-CN"/>
        </w:rPr>
        <w:t>实施机构改革，原文明办划转并入我单位，编制及实有人员随之增加，人员经费支出相应增加。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  （十）2089999 其他社会保障和就业支出 5.00万元，与上年决算数持平。</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  （十一）2101101 行政单位医疗 12.27万元，较上年决算数增加0.46万元，增长3.91%。主要原因是</w:t>
      </w:r>
      <w:r>
        <w:rPr>
          <w:rFonts w:hint="eastAsia" w:ascii="FangSong_GB2312" w:hAnsi="FangSong_GB2312" w:eastAsia="FangSong_GB2312" w:cs="FangSong_GB2312"/>
          <w:spacing w:val="0"/>
          <w:kern w:val="0"/>
          <w:sz w:val="32"/>
          <w:szCs w:val="32"/>
          <w:lang w:eastAsia="zh-CN"/>
        </w:rPr>
        <w:t>实施机构改革，原文明办划转并入我单位，编制及实有人员随之增加。</w:t>
      </w:r>
    </w:p>
    <w:p>
      <w:pPr>
        <w:pStyle w:val="28"/>
        <w:widowControl/>
        <w:spacing w:before="100" w:after="100" w:line="560" w:lineRule="atLeast"/>
        <w:ind w:left="100" w:right="100" w:firstLine="640"/>
        <w:jc w:val="left"/>
        <w:rPr>
          <w:rFonts w:hint="eastAsia" w:ascii="Times New Roman" w:hAnsi="Times New Roman" w:eastAsia="FangSong_GB2312" w:cs="Times New Roman"/>
          <w:kern w:val="0"/>
          <w:sz w:val="24"/>
          <w:lang w:eastAsia="zh-CN"/>
        </w:rPr>
      </w:pPr>
      <w:r>
        <w:rPr>
          <w:rFonts w:ascii="FangSong_GB2312" w:hAnsi="FangSong_GB2312" w:eastAsia="FangSong_GB2312" w:cs="FangSong_GB2312"/>
          <w:spacing w:val="0"/>
          <w:kern w:val="0"/>
          <w:sz w:val="32"/>
          <w:szCs w:val="32"/>
        </w:rPr>
        <w:t>（十二）2101102 事业单位医疗 1.38万元，较上年决算数减少0.32万元，下降18.92%。主要原因是</w:t>
      </w:r>
      <w:r>
        <w:rPr>
          <w:rFonts w:hint="eastAsia" w:ascii="FangSong_GB2312" w:hAnsi="FangSong_GB2312" w:eastAsia="FangSong_GB2312" w:cs="FangSong_GB2312"/>
          <w:spacing w:val="0"/>
          <w:kern w:val="0"/>
          <w:sz w:val="32"/>
          <w:szCs w:val="32"/>
          <w:lang w:eastAsia="zh-CN"/>
        </w:rPr>
        <w:t>事业编制人员减少一人。</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  （十三）2101103 公务员医疗补助 9.85万元，较上年决算数增加0.55万元，增长5.91%。主要原因是</w:t>
      </w:r>
      <w:r>
        <w:rPr>
          <w:rFonts w:hint="eastAsia" w:ascii="FangSong_GB2312" w:hAnsi="FangSong_GB2312" w:eastAsia="FangSong_GB2312" w:cs="FangSong_GB2312"/>
          <w:spacing w:val="0"/>
          <w:kern w:val="0"/>
          <w:sz w:val="32"/>
          <w:szCs w:val="32"/>
          <w:lang w:eastAsia="zh-CN"/>
        </w:rPr>
        <w:t>行政人员增加。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  （十四）2130599 其他巩固脱贫攻坚成果衔接乡村振兴支出 1.24万元，较上年决算数增加1.24万元。主要原因是</w:t>
      </w:r>
      <w:r>
        <w:rPr>
          <w:rFonts w:hint="eastAsia" w:ascii="FangSong_GB2312" w:hAnsi="FangSong_GB2312" w:eastAsia="FangSong_GB2312" w:cs="FangSong_GB2312"/>
          <w:spacing w:val="0"/>
          <w:kern w:val="0"/>
          <w:sz w:val="32"/>
          <w:szCs w:val="32"/>
          <w:lang w:eastAsia="zh-CN"/>
        </w:rPr>
        <w:t>驻村第一书记人员经费。</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  （十五）2210201 住房公积金 32.41万元，较上年决算数增加2.52万元，增长8.43%。主要原因是</w:t>
      </w:r>
      <w:r>
        <w:rPr>
          <w:rFonts w:hint="eastAsia" w:ascii="FangSong_GB2312" w:hAnsi="FangSong_GB2312" w:eastAsia="FangSong_GB2312" w:cs="FangSong_GB2312"/>
          <w:spacing w:val="0"/>
          <w:kern w:val="0"/>
          <w:sz w:val="32"/>
          <w:szCs w:val="32"/>
          <w:lang w:eastAsia="zh-CN"/>
        </w:rPr>
        <w:t>实施机构改革，原文明办划转并入我单位，编制及实有人员随之增加。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  （十六）2210202 提租补贴 6.20万元，较上年决算数减少0.81万元，下降11.60%。主要原因是</w:t>
      </w:r>
      <w:r>
        <w:rPr>
          <w:rFonts w:hint="eastAsia" w:ascii="FangSong_GB2312" w:hAnsi="FangSong_GB2312" w:eastAsia="FangSong_GB2312" w:cs="FangSong_GB2312"/>
          <w:spacing w:val="0"/>
          <w:kern w:val="0"/>
          <w:sz w:val="32"/>
          <w:szCs w:val="32"/>
          <w:lang w:eastAsia="zh-CN"/>
        </w:rPr>
        <w:t>支出科目调整。</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9" w:name="_Toc256000072"/>
      <w:r>
        <w:rPr>
          <w:rFonts w:ascii="黑体" w:hAnsi="黑体" w:eastAsia="黑体" w:cs="黑体"/>
          <w:b w:val="0"/>
          <w:bCs w:val="0"/>
          <w:spacing w:val="0"/>
        </w:rPr>
        <w:t>四、政府性基金预算财政拨款支出决算情况说明</w:t>
      </w:r>
      <w:bookmarkEnd w:id="19"/>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2025年度政府性基金预算财政拨款支出31.24万元，比上年决算数增加29.88万元，增长2197.06%，具体情况如下(按项级科目统计)：</w:t>
      </w:r>
    </w:p>
    <w:p>
      <w:pPr>
        <w:pStyle w:val="28"/>
        <w:widowControl/>
        <w:spacing w:before="100" w:after="100" w:line="560" w:lineRule="atLeast"/>
        <w:ind w:left="100" w:right="100" w:firstLine="0"/>
        <w:jc w:val="left"/>
        <w:rPr>
          <w:rFonts w:hint="eastAsia" w:ascii="Times New Roman" w:hAnsi="Times New Roman" w:eastAsia="FangSong_GB2312" w:cs="Times New Roman"/>
          <w:kern w:val="0"/>
          <w:sz w:val="24"/>
          <w:lang w:eastAsia="zh-CN"/>
        </w:rPr>
      </w:pPr>
      <w:r>
        <w:rPr>
          <w:rFonts w:ascii="FangSong_GB2312" w:hAnsi="FangSong_GB2312" w:eastAsia="FangSong_GB2312" w:cs="FangSong_GB2312"/>
          <w:spacing w:val="0"/>
          <w:kern w:val="0"/>
          <w:sz w:val="32"/>
          <w:szCs w:val="32"/>
        </w:rPr>
        <w:t>  （一）2070799 其他国家电影事业发展专项资金支出 31.24万元，较上年决算数增加29.88万元，增长2197.06%。主要原因是国家电影事业发展专项资金</w:t>
      </w:r>
      <w:r>
        <w:rPr>
          <w:rFonts w:hint="eastAsia" w:ascii="FangSong_GB2312" w:hAnsi="FangSong_GB2312" w:eastAsia="FangSong_GB2312" w:cs="FangSong_GB2312"/>
          <w:spacing w:val="0"/>
          <w:kern w:val="0"/>
          <w:sz w:val="32"/>
          <w:szCs w:val="32"/>
          <w:lang w:eastAsia="zh-CN"/>
        </w:rPr>
        <w:t>补助影院建设专项经费。</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0" w:name="_Toc256000073"/>
      <w:r>
        <w:rPr>
          <w:rFonts w:ascii="黑体" w:hAnsi="黑体" w:eastAsia="黑体" w:cs="黑体"/>
          <w:b w:val="0"/>
          <w:bCs w:val="0"/>
          <w:spacing w:val="0"/>
        </w:rPr>
        <w:t>五、国有资本经营预算财政拨款支出决算情况说明</w:t>
      </w:r>
      <w:bookmarkEnd w:id="20"/>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本部门2025年度没有使用国有资本经营预算财政拨款安排的支出。</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1" w:name="_Toc256000074"/>
      <w:r>
        <w:rPr>
          <w:rFonts w:ascii="黑体" w:hAnsi="黑体" w:eastAsia="黑体" w:cs="黑体"/>
          <w:b w:val="0"/>
          <w:bCs w:val="0"/>
          <w:spacing w:val="0"/>
        </w:rPr>
        <w:t>六、一般公共预算财政拨款基本支出决算情况说明</w:t>
      </w:r>
      <w:bookmarkEnd w:id="21"/>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2025年度一般公共预算财政拨款基本支出550.53万元，其中：</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（一）人员经费489.94万元，主要包括：</w:t>
      </w:r>
      <w:r>
        <w:rPr>
          <w:rFonts w:ascii="FangSong_GB2312" w:hAnsi="FangSong_GB2312" w:eastAsia="FangSong_GB2312" w:cs="FangSong_GB2312"/>
          <w:kern w:val="0"/>
          <w:sz w:val="32"/>
          <w:szCs w:val="32"/>
        </w:rPr>
        <w:t>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（二）公用经费60.59万元，主要包括：</w:t>
      </w:r>
      <w:r>
        <w:rPr>
          <w:rFonts w:ascii="FangSong_GB2312" w:hAnsi="FangSong_GB2312" w:eastAsia="FangSong_GB2312" w:cs="FangSong_GB2312"/>
          <w:kern w:val="0"/>
          <w:sz w:val="32"/>
          <w:szCs w:val="32"/>
        </w:rPr>
        <w:t>办公费、印刷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2" w:name="_Toc256000075"/>
      <w:r>
        <w:rPr>
          <w:rFonts w:ascii="黑体" w:hAnsi="黑体" w:eastAsia="黑体" w:cs="黑体"/>
          <w:b w:val="0"/>
          <w:bCs w:val="0"/>
          <w:spacing w:val="0"/>
        </w:rPr>
        <w:t>七、一般公共预算财政拨款“三公”经费支出决算情况说明</w:t>
      </w:r>
      <w:bookmarkEnd w:id="22"/>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2025年度一般公共预算财政拨款“三公”经费支出1.33万元，完成全年预算的60.61%；较上年减少0.28万元，下降17.61%。主要原因是</w:t>
      </w:r>
      <w:r>
        <w:rPr>
          <w:rFonts w:hint="eastAsia" w:ascii="FangSong_GB2312" w:hAnsi="FangSong_GB2312" w:eastAsia="FangSong_GB2312" w:cs="FangSong_GB2312"/>
          <w:spacing w:val="0"/>
          <w:kern w:val="0"/>
          <w:sz w:val="32"/>
          <w:szCs w:val="32"/>
          <w:lang w:eastAsia="zh-CN"/>
        </w:rPr>
        <w:t>严格落实“过紧日子”要求，坚持厉行节约，进一步规范公务接待管理，严格控制公务接待批次和人数，从而压减了公务接待费支出</w:t>
      </w:r>
      <w:r>
        <w:rPr>
          <w:rFonts w:ascii="FangSong_GB2312" w:hAnsi="FangSong_GB2312" w:eastAsia="FangSong_GB2312" w:cs="FangSong_GB2312"/>
          <w:kern w:val="0"/>
          <w:sz w:val="32"/>
          <w:szCs w:val="32"/>
        </w:rPr>
        <w:t>。</w:t>
      </w:r>
      <w:r>
        <w:rPr>
          <w:rFonts w:ascii="FangSong_GB2312" w:hAnsi="FangSong_GB2312" w:eastAsia="FangSong_GB2312" w:cs="FangSong_GB2312"/>
          <w:spacing w:val="0"/>
          <w:kern w:val="0"/>
          <w:sz w:val="32"/>
          <w:szCs w:val="32"/>
        </w:rPr>
        <w:t>具体情况如下：</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（一）因公出国（境）费用支出 0万元，与全年预算数持平，</w:t>
      </w:r>
      <w:r>
        <w:rPr>
          <w:rFonts w:ascii="FangSong_GB2312" w:hAnsi="FangSong_GB2312" w:eastAsia="FangSong_GB2312" w:cs="FangSong_GB2312"/>
          <w:kern w:val="0"/>
          <w:sz w:val="32"/>
          <w:szCs w:val="32"/>
        </w:rPr>
        <w:t>与上年决算数持平。全年安排本部门组织的出国团组0 个，参加其他部门出国团组个；全年因公出国（境）累计0 人次。</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（二）公务用车购置及运行费支出0万元，与全年预算数持平，与上年决算数持平。</w:t>
      </w:r>
      <w:r>
        <w:rPr>
          <w:rFonts w:ascii="FangSong_GB2312" w:hAnsi="FangSong_GB2312" w:eastAsia="FangSong_GB2312" w:cs="FangSong_GB2312"/>
          <w:kern w:val="0"/>
          <w:sz w:val="32"/>
          <w:szCs w:val="32"/>
        </w:rPr>
        <w:t>其中：</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公务用车购置费支出0万元，与全年预算数持平，</w:t>
      </w:r>
      <w:r>
        <w:rPr>
          <w:rFonts w:ascii="FangSong_GB2312" w:hAnsi="FangSong_GB2312" w:eastAsia="FangSong_GB2312" w:cs="FangSong_GB2312"/>
          <w:kern w:val="0"/>
          <w:sz w:val="32"/>
          <w:szCs w:val="32"/>
        </w:rPr>
        <w:t>与上年决算数持平。2025年公务用车购置0辆。</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公务用车运行费支出0万元，与全年预算数持平，与上年决算数持平。截至2025年12月31日，本部门公务用车保有量为0辆。</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（三）公务接待费支出1.33万元，完成全年预算的 60.61%；较上年减少0.28万元，下降17.61%。主要是</w:t>
      </w:r>
      <w:r>
        <w:rPr>
          <w:rFonts w:hint="eastAsia" w:ascii="FangSong_GB2312" w:hAnsi="FangSong_GB2312" w:eastAsia="FangSong_GB2312" w:cs="FangSong_GB2312"/>
          <w:spacing w:val="0"/>
          <w:kern w:val="0"/>
          <w:sz w:val="32"/>
          <w:szCs w:val="32"/>
          <w:lang w:eastAsia="zh-CN"/>
        </w:rPr>
        <w:t>严格落实“过紧日子”要求，坚持厉行节约，进一步规范公务接待管理，严格控制公务接待批次和人数，从而压减了公务接待费支出</w:t>
      </w:r>
      <w:r>
        <w:rPr>
          <w:rFonts w:ascii="FangSong_GB2312" w:hAnsi="FangSong_GB2312" w:eastAsia="FangSong_GB2312" w:cs="FangSong_GB2312"/>
          <w:spacing w:val="0"/>
          <w:kern w:val="0"/>
          <w:sz w:val="32"/>
          <w:szCs w:val="32"/>
        </w:rPr>
        <w:t>。累计接待9.00批次、105.00人次。</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3" w:name="_Toc256000076"/>
      <w:r>
        <w:rPr>
          <w:rFonts w:ascii="黑体" w:hAnsi="黑体" w:eastAsia="黑体" w:cs="黑体"/>
          <w:b w:val="0"/>
          <w:bCs w:val="0"/>
          <w:spacing w:val="0"/>
        </w:rPr>
        <w:t>八、预算绩效情况说明</w:t>
      </w:r>
      <w:bookmarkEnd w:id="23"/>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根据全面实施预算绩效管理要求，本部门组织对2025年度</w:t>
      </w:r>
      <w:r>
        <w:rPr>
          <w:rFonts w:hint="eastAsia" w:ascii="FangSong_GB2312" w:hAnsi="FangSong_GB2312" w:eastAsia="FangSong_GB2312" w:cs="FangSong_GB2312"/>
          <w:spacing w:val="0"/>
          <w:kern w:val="0"/>
          <w:sz w:val="32"/>
          <w:szCs w:val="32"/>
          <w:lang w:val="en-US" w:eastAsia="zh-CN"/>
        </w:rPr>
        <w:t>11</w:t>
      </w:r>
      <w:r>
        <w:rPr>
          <w:rFonts w:ascii="FangSong_GB2312" w:hAnsi="FangSong_GB2312" w:eastAsia="FangSong_GB2312" w:cs="FangSong_GB2312"/>
          <w:spacing w:val="0"/>
          <w:kern w:val="0"/>
          <w:sz w:val="32"/>
          <w:szCs w:val="32"/>
        </w:rPr>
        <w:t>个项目实施单位自评。</w:t>
      </w:r>
      <w:r>
        <w:rPr>
          <w:rFonts w:hint="eastAsia" w:ascii="FangSong_GB2312" w:hAnsi="FangSong_GB2312" w:eastAsia="FangSong_GB2312" w:cs="FangSong_GB2312"/>
          <w:spacing w:val="0"/>
          <w:kern w:val="0"/>
          <w:sz w:val="32"/>
          <w:szCs w:val="32"/>
          <w:lang w:eastAsia="zh-CN"/>
        </w:rPr>
        <w:t>涉及资金</w:t>
      </w:r>
      <w:r>
        <w:rPr>
          <w:rFonts w:hint="eastAsia" w:ascii="FangSong_GB2312" w:hAnsi="FangSong_GB2312" w:eastAsia="FangSong_GB2312" w:cs="FangSong_GB2312"/>
          <w:spacing w:val="0"/>
          <w:kern w:val="0"/>
          <w:sz w:val="32"/>
          <w:szCs w:val="32"/>
          <w:lang w:val="en-US" w:eastAsia="zh-CN"/>
        </w:rPr>
        <w:t>169.72万元，从评价效果看，自评结果“优”的项目为10个，自评结果“良”的项目为1个。各项目绩效目标设定合理，执行情况良好，达到预期效果。</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4" w:name="_Toc256000077"/>
      <w:r>
        <w:rPr>
          <w:rFonts w:ascii="黑体" w:hAnsi="黑体" w:eastAsia="黑体" w:cs="黑体"/>
          <w:b w:val="0"/>
          <w:bCs w:val="0"/>
          <w:spacing w:val="0"/>
        </w:rPr>
        <w:t>九、其他重要事项说明</w:t>
      </w:r>
      <w:bookmarkEnd w:id="24"/>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（一）机关运行经费 </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2025年度机关运行经费支出60.59万元，比上年决算数减少19.39万元，下降24.24%，主要原因是:</w:t>
      </w:r>
      <w:r>
        <w:rPr>
          <w:rFonts w:hint="eastAsia" w:ascii="FangSong_GB2312" w:hAnsi="FangSong_GB2312" w:eastAsia="FangSong_GB2312" w:cs="FangSong_GB2312"/>
          <w:spacing w:val="0"/>
          <w:kern w:val="0"/>
          <w:sz w:val="32"/>
          <w:szCs w:val="32"/>
          <w:lang w:eastAsia="zh-CN"/>
        </w:rPr>
        <w:t>因机构改革，受人员变动、日常公用经费等支出较上年略有减少</w:t>
      </w:r>
      <w:r>
        <w:rPr>
          <w:rFonts w:ascii="FangSong_GB2312" w:hAnsi="FangSong_GB2312" w:eastAsia="FangSong_GB2312" w:cs="FangSong_GB2312"/>
          <w:spacing w:val="0"/>
          <w:kern w:val="0"/>
          <w:sz w:val="32"/>
          <w:szCs w:val="32"/>
        </w:rPr>
        <w:t>。</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（二）政府采购情况</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部门2025年度政府采购支出总额0.99万元，其中：政府采购货物支出0.99万元、政府采购工程支出0万元、政府采购服务支出0万元。授予中小企业合同金额0.99万元，占政府采购支出总额的100.00%，其中：授予小微企业合同金额0.99万元，占授予中小企业合同金额的100.00%；货物采购授予中小企业合同金额占货物支出金额的%，工程采购授予中小企业合同金额占工程支出金额的%，服务采购授予中小企业合同金额占服务支出金额的%。</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（三）国有资产占用使用情况 </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截至2025年12月31日，本部门共有车辆0 辆，其中：副部（省）级以上领导用车0辆、主要负责人用车0辆、机要通信用车0辆、应急保障用车0辆、执法执勤用车0辆、特种专业技术用车0辆、离退休干部服务用车0辆、其他用车0辆，其他用车主要是；单价100万元（含）以上设备（不含车辆）0台（套）。 </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sectPr>
          <w:footerReference r:id="rId19"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r>
        <w:rPr>
          <w:rFonts w:ascii="Times New Roman" w:hAnsi="Times New Roman" w:eastAsia="Times New Roman" w:cs="Times New Roman"/>
          <w:b/>
          <w:spacing w:val="0"/>
          <w:sz w:val="56"/>
          <w:szCs w:val="56"/>
        </w:rPr>
        <w:t> </w:t>
      </w:r>
    </w:p>
    <w:p>
      <w:pPr>
        <w:widowControl/>
        <w:spacing w:before="240" w:after="2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25" w:name="_Toc256000079"/>
      <w:r>
        <w:rPr>
          <w:rFonts w:ascii="黑体" w:hAnsi="黑体" w:eastAsia="黑体" w:cs="黑体"/>
          <w:b w:val="0"/>
          <w:bCs w:val="0"/>
          <w:spacing w:val="0"/>
          <w:sz w:val="56"/>
          <w:szCs w:val="56"/>
        </w:rPr>
        <w:t>第四部分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名词解释</w:t>
      </w:r>
      <w:bookmarkEnd w:id="25"/>
    </w:p>
    <w:p>
      <w:pPr>
        <w:pStyle w:val="28"/>
        <w:widowControl/>
        <w:spacing w:before="100" w:after="100"/>
        <w:ind w:left="100" w:right="100" w:firstLine="0"/>
        <w:jc w:val="center"/>
        <w:rPr>
          <w:rFonts w:ascii="Times New Roman" w:hAnsi="Times New Roman" w:eastAsia="Times New Roman" w:cs="Times New Roman"/>
          <w:kern w:val="0"/>
          <w:sz w:val="24"/>
        </w:rPr>
      </w:pPr>
    </w:p>
    <w:p>
      <w:pPr>
        <w:sectPr>
          <w:footerReference r:id="rId20"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一、财政拨款收入：</w:t>
      </w:r>
      <w:r>
        <w:rPr>
          <w:rFonts w:ascii="FangSong_GB2312" w:hAnsi="FangSong_GB2312" w:eastAsia="FangSong_GB2312" w:cs="FangSong_GB2312"/>
          <w:spacing w:val="0"/>
          <w:kern w:val="0"/>
          <w:sz w:val="32"/>
          <w:szCs w:val="32"/>
        </w:rPr>
        <w:t>指单位从本级财政部门取得的财政预算资金，包括一般公共预算财政拨款、政府性基金预算财政拨款和国有资本经营预算财政拨款。</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二、事业收入：</w:t>
      </w:r>
      <w:r>
        <w:rPr>
          <w:rFonts w:ascii="FangSong_GB2312" w:hAnsi="FangSong_GB2312" w:eastAsia="FangSong_GB2312" w:cs="FangSong_GB2312"/>
          <w:spacing w:val="0"/>
          <w:kern w:val="0"/>
          <w:sz w:val="32"/>
          <w:szCs w:val="32"/>
        </w:rPr>
        <w:t>指事业单位开展专业业务活动及辅助活动所取得的收入。</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三、经营收入：</w:t>
      </w:r>
      <w:r>
        <w:rPr>
          <w:rFonts w:ascii="FangSong_GB2312" w:hAnsi="FangSong_GB2312" w:eastAsia="FangSong_GB2312" w:cs="FangSong_GB2312"/>
          <w:spacing w:val="0"/>
          <w:kern w:val="0"/>
          <w:sz w:val="32"/>
          <w:szCs w:val="32"/>
        </w:rPr>
        <w:t>指事业单位在专业业务活动及其辅助活动之外开展非独立核算经营活动取得的收入。</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四、其他收入：</w:t>
      </w:r>
      <w:r>
        <w:rPr>
          <w:rFonts w:ascii="FangSong_GB2312" w:hAnsi="FangSong_GB2312" w:eastAsia="FangSong_GB2312" w:cs="FangSong_GB2312"/>
          <w:kern w:val="0"/>
          <w:sz w:val="32"/>
          <w:szCs w:val="32"/>
        </w:rPr>
        <w:t>指除上述“财政拨款收入”“事业收入”</w:t>
      </w:r>
      <w:r>
        <w:rPr>
          <w:rFonts w:ascii="FangSong_GB2312" w:hAnsi="FangSong_GB2312" w:eastAsia="FangSong_GB2312" w:cs="FangSong_GB2312"/>
          <w:kern w:val="0"/>
          <w:szCs w:val="21"/>
        </w:rPr>
        <w:t> </w:t>
      </w:r>
      <w:r>
        <w:rPr>
          <w:rFonts w:ascii="FangSong_GB2312" w:hAnsi="FangSong_GB2312" w:eastAsia="FangSong_GB2312" w:cs="FangSong_GB2312"/>
          <w:kern w:val="0"/>
          <w:sz w:val="32"/>
          <w:szCs w:val="32"/>
        </w:rPr>
        <w:t>“上级补助收入”“附属单位上缴收入”“经营收入”等以外取得的各项收入。主要是事业单位固定资产出租收入等。</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五、使用非财政拨款结余（含专用结余）</w:t>
      </w:r>
      <w:r>
        <w:rPr>
          <w:rFonts w:ascii="楷体_GB2312" w:hAnsi="楷体_GB2312" w:eastAsia="楷体_GB2312" w:cs="楷体_GB2312"/>
          <w:b/>
          <w:bCs/>
          <w:kern w:val="0"/>
          <w:sz w:val="24"/>
        </w:rPr>
        <w:t>：</w:t>
      </w:r>
      <w:r>
        <w:rPr>
          <w:rFonts w:ascii="FangSong_GB2312" w:hAnsi="FangSong_GB2312" w:eastAsia="FangSong_GB2312" w:cs="FangSong_GB2312"/>
          <w:kern w:val="0"/>
          <w:sz w:val="32"/>
          <w:szCs w:val="32"/>
        </w:rPr>
        <w:t>指事业单位按照预算管理要求使用非财政拨款结余弥补当年收支差额的金额，以及使用专用结余安排支出的金额。</w:t>
      </w:r>
    </w:p>
    <w:p>
      <w:pPr>
        <w:pStyle w:val="28"/>
        <w:widowControl/>
        <w:spacing w:before="24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六、年初结转和结余：</w:t>
      </w:r>
      <w:r>
        <w:rPr>
          <w:rFonts w:ascii="FangSong_GB2312" w:hAnsi="FangSong_GB2312" w:eastAsia="FangSong_GB2312" w:cs="FangSong_GB2312"/>
          <w:spacing w:val="0"/>
          <w:kern w:val="0"/>
          <w:sz w:val="32"/>
          <w:szCs w:val="32"/>
        </w:rPr>
        <w:t>指单位以前年度尚未完成、结转到本年仍按原规定用途继续使用的资金，或项目已完成等产生的结余资金。</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七、结余分配：</w:t>
      </w:r>
      <w:r>
        <w:rPr>
          <w:rFonts w:ascii="FangSong_GB2312" w:hAnsi="FangSong_GB2312" w:eastAsia="FangSong_GB2312" w:cs="FangSong_GB2312"/>
          <w:spacing w:val="0"/>
          <w:kern w:val="0"/>
          <w:sz w:val="32"/>
          <w:szCs w:val="32"/>
        </w:rPr>
        <w:t>指事业单位按照会计制度规定缴纳的所得税、提取的专用结余以及转入非财政拨款结余的金额等。</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八、年末结转和结余：</w:t>
      </w:r>
      <w:r>
        <w:rPr>
          <w:rFonts w:ascii="FangSong_GB2312" w:hAnsi="FangSong_GB2312" w:eastAsia="FangSong_GB2312" w:cs="FangSong_GB2312"/>
          <w:spacing w:val="0"/>
          <w:kern w:val="0"/>
          <w:sz w:val="32"/>
          <w:szCs w:val="32"/>
        </w:rPr>
        <w:t>指单位按有关规定结转到下年或以后年度继续使用的资金，或项目已完成等产生的结余资金。</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九、基本支出：</w:t>
      </w:r>
      <w:r>
        <w:rPr>
          <w:rFonts w:ascii="FangSong_GB2312" w:hAnsi="FangSong_GB2312" w:eastAsia="FangSong_GB2312" w:cs="FangSong_GB2312"/>
          <w:spacing w:val="0"/>
          <w:kern w:val="0"/>
          <w:sz w:val="32"/>
          <w:szCs w:val="32"/>
        </w:rPr>
        <w:t>指为保障机构正常运转、完成日常工作任务而发生的人员支出和公用支出。</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十、项目支出：</w:t>
      </w:r>
      <w:r>
        <w:rPr>
          <w:rFonts w:ascii="FangSong_GB2312" w:hAnsi="FangSong_GB2312" w:eastAsia="FangSong_GB2312" w:cs="FangSong_GB2312"/>
          <w:spacing w:val="0"/>
          <w:kern w:val="0"/>
          <w:sz w:val="32"/>
          <w:szCs w:val="32"/>
        </w:rPr>
        <w:t>指在基本支出之外为完成特定行政任务和事业发展目标所发生的支出。</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十一、经营支出：</w:t>
      </w:r>
      <w:r>
        <w:rPr>
          <w:rFonts w:ascii="FangSong_GB2312" w:hAnsi="FangSong_GB2312" w:eastAsia="FangSong_GB2312" w:cs="FangSong_GB2312"/>
          <w:spacing w:val="0"/>
          <w:kern w:val="0"/>
          <w:sz w:val="32"/>
          <w:szCs w:val="32"/>
        </w:rPr>
        <w:t>指事业单位在专业业务活动及其辅助活动之外开展非独立核算经营活动发生的支出。</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十二、“三公”经费：</w:t>
      </w:r>
      <w:r>
        <w:rPr>
          <w:rFonts w:ascii="FangSong_GB2312" w:hAnsi="FangSong_GB2312" w:eastAsia="FangSong_GB2312" w:cs="FangSong_GB2312"/>
          <w:kern w:val="0"/>
          <w:sz w:val="32"/>
          <w:szCs w:val="32"/>
        </w:rPr>
        <w:t>纳入本级财政预决算管理的“三公”经费，是指本级部门用一般公共预算财政拨款安排的因公出国（境）费用、公务用车购置及运行费和公务接待费。其中，因公出国（境）费用反映单位公务出国（境）的国际旅费、国外城市间交通费、住宿费、伙食费、培训费、公杂费等支出；公务用车购置及运行费反映单位公务用车车辆购置支出（含车辆购置税、牌照费）及按规定保留的公务用车燃料费、新能源汽车充电费、维修费、过桥过路费、保险费、安全奖励费用等支出；公务接待费反映单位按规定开支的各类公务接待（含外宾接待）支出。</w:t>
      </w:r>
      <w:r>
        <w:rPr>
          <w:rFonts w:ascii="仿宋" w:hAnsi="仿宋" w:eastAsia="仿宋" w:cs="仿宋"/>
          <w:kern w:val="0"/>
          <w:sz w:val="32"/>
          <w:szCs w:val="32"/>
        </w:rPr>
        <w:t> </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十三、机关运行经费：</w:t>
      </w:r>
      <w:r>
        <w:rPr>
          <w:rFonts w:ascii="FangSong_GB2312" w:hAnsi="FangSong_GB2312" w:eastAsia="FangSong_GB2312" w:cs="FangSong_GB2312"/>
          <w:kern w:val="0"/>
          <w:sz w:val="32"/>
          <w:szCs w:val="32"/>
        </w:rPr>
        <w:t>反映行政单位（含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以及其他费用。</w:t>
      </w:r>
    </w:p>
    <w:p>
      <w:pPr>
        <w:pStyle w:val="28"/>
        <w:widowControl/>
        <w:spacing w:before="240" w:after="240"/>
        <w:ind w:firstLine="643"/>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r>
        <w:rPr>
          <w:rFonts w:ascii="仿宋" w:hAnsi="仿宋" w:eastAsia="仿宋" w:cs="仿宋"/>
          <w:spacing w:val="0"/>
          <w:kern w:val="0"/>
          <w:sz w:val="32"/>
          <w:szCs w:val="32"/>
        </w:rPr>
        <w:t> </w:t>
      </w:r>
    </w:p>
    <w:p>
      <w:pPr>
        <w:sectPr>
          <w:footerReference r:id="rId21"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r>
        <w:rPr>
          <w:rFonts w:ascii="宋体" w:hAnsi="宋体" w:eastAsia="宋体" w:cs="宋体"/>
          <w:spacing w:val="0"/>
          <w:kern w:val="0"/>
          <w:sz w:val="56"/>
          <w:szCs w:val="56"/>
        </w:rPr>
        <w:t> </w:t>
      </w: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26" w:name="_Toc256000080"/>
      <w:r>
        <w:rPr>
          <w:rFonts w:ascii="黑体" w:hAnsi="黑体" w:eastAsia="黑体" w:cs="黑体"/>
          <w:b w:val="0"/>
          <w:bCs w:val="0"/>
          <w:spacing w:val="0"/>
          <w:sz w:val="56"/>
          <w:szCs w:val="56"/>
        </w:rPr>
        <w:t>第五部分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附件</w:t>
      </w:r>
      <w:bookmarkEnd w:id="26"/>
    </w:p>
    <w:p>
      <w:pPr>
        <w:pStyle w:val="28"/>
        <w:widowControl/>
        <w:spacing w:before="100" w:after="100"/>
        <w:ind w:left="100" w:right="100" w:firstLine="0"/>
        <w:jc w:val="center"/>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sectPr>
          <w:footerReference r:id="rId22" w:type="default"/>
          <w:pgSz w:w="11906" w:h="16838"/>
          <w:pgMar w:top="1984" w:right="1083" w:bottom="1984" w:left="1083" w:header="0" w:footer="720" w:gutter="0"/>
          <w:cols w:space="0" w:num="1"/>
          <w:rtlGutter w:val="0"/>
          <w:docGrid w:type="lines" w:linePitch="317" w:charSpace="0"/>
        </w:sectPr>
      </w:pPr>
    </w:p>
    <w:p>
      <w:pPr>
        <w:widowControl/>
        <w:spacing w:before="240" w:after="240"/>
        <w:jc w:val="left"/>
        <w:rPr>
          <w:rFonts w:ascii="Times New Roman" w:hAnsi="Times New Roman" w:eastAsia="Times New Roman" w:cs="Times New Roman"/>
          <w:kern w:val="0"/>
          <w:sz w:val="24"/>
        </w:rPr>
      </w:pPr>
    </w:p>
    <w:bookmarkEnd w:id="0"/>
    <w:p>
      <w:pPr>
        <w:keepNext w:val="0"/>
        <w:keepLines w:val="0"/>
        <w:pageBreakBefore w:val="0"/>
        <w:widowControl w:val="0"/>
        <w:tabs>
          <w:tab w:val="left" w:pos="8415"/>
        </w:tabs>
        <w:kinsoku/>
        <w:wordWrap/>
        <w:overflowPunct/>
        <w:topLinePunct w:val="0"/>
        <w:autoSpaceDE/>
        <w:autoSpaceDN/>
        <w:bidi w:val="0"/>
        <w:adjustRightInd/>
        <w:snapToGrid/>
        <w:textAlignment w:val="auto"/>
      </w:pPr>
      <w:r>
        <w:object>
          <v:shape id="_x0000_i1025" o:spt="75" type="#_x0000_t75" style="height:442.3pt;width:643.2pt;" o:ole="t" filled="f" o:preferrelative="t" stroked="f" coordsize="21600,21600">
            <v:path/>
            <v:fill on="f" focussize="0,0"/>
            <v:stroke on="f"/>
            <v:imagedata r:id="rId25" o:title=""/>
            <o:lock v:ext="edit" aspectratio="f"/>
            <w10:wrap type="none"/>
            <w10:anchorlock/>
          </v:shape>
          <o:OLEObject Type="Embed" ProgID="Excel.Sheet.12" ShapeID="_x0000_i1025" DrawAspect="Content" ObjectID="_1468075725" r:id="rId24">
            <o:LockedField>false</o:LockedField>
          </o:OLEObject>
        </w:object>
      </w:r>
    </w:p>
    <w:p>
      <w:pPr>
        <w:keepNext w:val="0"/>
        <w:keepLines w:val="0"/>
        <w:pageBreakBefore w:val="0"/>
        <w:widowControl w:val="0"/>
        <w:tabs>
          <w:tab w:val="left" w:pos="8415"/>
        </w:tabs>
        <w:kinsoku/>
        <w:wordWrap/>
        <w:overflowPunct/>
        <w:topLinePunct w:val="0"/>
        <w:autoSpaceDE/>
        <w:autoSpaceDN/>
        <w:bidi w:val="0"/>
        <w:adjustRightInd/>
        <w:snapToGrid/>
        <w:textAlignment w:val="auto"/>
      </w:pPr>
    </w:p>
    <w:p>
      <w:pPr>
        <w:keepNext w:val="0"/>
        <w:keepLines w:val="0"/>
        <w:pageBreakBefore w:val="0"/>
        <w:widowControl w:val="0"/>
        <w:tabs>
          <w:tab w:val="left" w:pos="8415"/>
        </w:tabs>
        <w:kinsoku/>
        <w:wordWrap/>
        <w:overflowPunct/>
        <w:topLinePunct w:val="0"/>
        <w:autoSpaceDE/>
        <w:autoSpaceDN/>
        <w:bidi w:val="0"/>
        <w:adjustRightInd/>
        <w:snapToGrid/>
        <w:textAlignment w:val="auto"/>
      </w:pPr>
    </w:p>
    <w:p>
      <w:pPr>
        <w:keepNext w:val="0"/>
        <w:keepLines w:val="0"/>
        <w:pageBreakBefore w:val="0"/>
        <w:widowControl w:val="0"/>
        <w:tabs>
          <w:tab w:val="left" w:pos="8415"/>
        </w:tabs>
        <w:kinsoku/>
        <w:wordWrap/>
        <w:overflowPunct/>
        <w:topLinePunct w:val="0"/>
        <w:autoSpaceDE/>
        <w:autoSpaceDN/>
        <w:bidi w:val="0"/>
        <w:adjustRightInd/>
        <w:snapToGrid/>
        <w:textAlignment w:val="auto"/>
      </w:pPr>
    </w:p>
    <w:p>
      <w:pPr>
        <w:keepNext w:val="0"/>
        <w:keepLines w:val="0"/>
        <w:pageBreakBefore w:val="0"/>
        <w:widowControl w:val="0"/>
        <w:tabs>
          <w:tab w:val="left" w:pos="8415"/>
        </w:tabs>
        <w:kinsoku/>
        <w:wordWrap/>
        <w:overflowPunct/>
        <w:topLinePunct w:val="0"/>
        <w:autoSpaceDE/>
        <w:autoSpaceDN/>
        <w:bidi w:val="0"/>
        <w:adjustRightInd/>
        <w:snapToGrid/>
        <w:textAlignment w:val="auto"/>
      </w:pPr>
      <w:r>
        <w:object>
          <v:shape id="_x0000_i1026" o:spt="75" type="#_x0000_t75" style="height:404.45pt;width:649.15pt;" o:ole="t" filled="f" o:preferrelative="t" stroked="f" coordsize="21600,21600">
            <v:path/>
            <v:fill on="f" focussize="0,0"/>
            <v:stroke on="f"/>
            <v:imagedata r:id="rId27" o:title=""/>
            <o:lock v:ext="edit" aspectratio="f"/>
            <w10:wrap type="none"/>
            <w10:anchorlock/>
          </v:shape>
          <o:OLEObject Type="Embed" ProgID="Excel.Sheet.12" ShapeID="_x0000_i1026" DrawAspect="Content" ObjectID="_1468075726" r:id="rId26">
            <o:LockedField>false</o:LockedField>
          </o:OLEObject>
        </w:object>
      </w:r>
    </w:p>
    <w:p>
      <w:pPr>
        <w:keepNext w:val="0"/>
        <w:keepLines w:val="0"/>
        <w:pageBreakBefore w:val="0"/>
        <w:widowControl w:val="0"/>
        <w:tabs>
          <w:tab w:val="left" w:pos="8415"/>
        </w:tabs>
        <w:kinsoku/>
        <w:wordWrap/>
        <w:overflowPunct/>
        <w:topLinePunct w:val="0"/>
        <w:autoSpaceDE/>
        <w:autoSpaceDN/>
        <w:bidi w:val="0"/>
        <w:adjustRightInd/>
        <w:snapToGrid/>
        <w:textAlignment w:val="auto"/>
      </w:pPr>
    </w:p>
    <w:p>
      <w:pPr>
        <w:keepNext w:val="0"/>
        <w:keepLines w:val="0"/>
        <w:pageBreakBefore w:val="0"/>
        <w:widowControl w:val="0"/>
        <w:tabs>
          <w:tab w:val="left" w:pos="8415"/>
        </w:tabs>
        <w:kinsoku/>
        <w:wordWrap/>
        <w:overflowPunct/>
        <w:topLinePunct w:val="0"/>
        <w:autoSpaceDE/>
        <w:autoSpaceDN/>
        <w:bidi w:val="0"/>
        <w:adjustRightInd/>
        <w:snapToGrid/>
        <w:textAlignment w:val="auto"/>
      </w:pPr>
    </w:p>
    <w:p>
      <w:pPr>
        <w:keepNext w:val="0"/>
        <w:keepLines w:val="0"/>
        <w:pageBreakBefore w:val="0"/>
        <w:widowControl w:val="0"/>
        <w:tabs>
          <w:tab w:val="left" w:pos="8415"/>
        </w:tabs>
        <w:kinsoku/>
        <w:wordWrap/>
        <w:overflowPunct/>
        <w:topLinePunct w:val="0"/>
        <w:autoSpaceDE/>
        <w:autoSpaceDN/>
        <w:bidi w:val="0"/>
        <w:adjustRightInd/>
        <w:snapToGrid/>
        <w:textAlignment w:val="auto"/>
      </w:pPr>
    </w:p>
    <w:p>
      <w:pPr>
        <w:keepNext w:val="0"/>
        <w:keepLines w:val="0"/>
        <w:pageBreakBefore w:val="0"/>
        <w:widowControl w:val="0"/>
        <w:tabs>
          <w:tab w:val="left" w:pos="8415"/>
        </w:tabs>
        <w:kinsoku/>
        <w:wordWrap/>
        <w:overflowPunct/>
        <w:topLinePunct w:val="0"/>
        <w:autoSpaceDE/>
        <w:autoSpaceDN/>
        <w:bidi w:val="0"/>
        <w:adjustRightInd/>
        <w:snapToGrid/>
        <w:textAlignment w:val="auto"/>
      </w:pPr>
      <w:r>
        <w:object>
          <v:shape id="_x0000_i1027" o:spt="75" type="#_x0000_t75" style="height:402.1pt;width:639.5pt;" o:ole="t" filled="f" o:preferrelative="t" stroked="f" coordsize="21600,21600">
            <v:path/>
            <v:fill on="f" focussize="0,0"/>
            <v:stroke on="f"/>
            <v:imagedata r:id="rId29" o:title=""/>
            <o:lock v:ext="edit" aspectratio="f"/>
            <w10:wrap type="none"/>
            <w10:anchorlock/>
          </v:shape>
          <o:OLEObject Type="Embed" ProgID="Excel.Sheet.12" ShapeID="_x0000_i1027" DrawAspect="Content" ObjectID="_1468075727" r:id="rId28">
            <o:LockedField>false</o:LockedField>
          </o:OLEObject>
        </w:object>
      </w:r>
    </w:p>
    <w:p>
      <w:pPr>
        <w:rPr>
          <w:rFonts w:ascii="Times New Roman" w:hAnsi="Times New Roman" w:eastAsia="宋体" w:cs="Times New Roman"/>
          <w:kern w:val="2"/>
          <w:sz w:val="21"/>
          <w:szCs w:val="24"/>
          <w:lang w:val="en-US" w:eastAsia="zh-CN" w:bidi="ar-SA"/>
        </w:rPr>
      </w:pPr>
    </w:p>
    <w:p>
      <w:pPr>
        <w:ind w:firstLine="489" w:firstLineChars="0"/>
        <w:jc w:val="left"/>
        <w:rPr>
          <w:rFonts w:ascii="Times New Roman" w:hAnsi="Times New Roman" w:eastAsia="宋体" w:cs="Times New Roman"/>
          <w:kern w:val="2"/>
          <w:sz w:val="21"/>
          <w:szCs w:val="24"/>
          <w:lang w:val="en-US" w:eastAsia="zh-CN" w:bidi="ar-SA"/>
        </w:rPr>
      </w:pPr>
    </w:p>
    <w:p>
      <w:pPr>
        <w:ind w:firstLine="489" w:firstLineChars="0"/>
        <w:jc w:val="left"/>
        <w:rPr>
          <w:rFonts w:ascii="Times New Roman" w:hAnsi="Times New Roman" w:eastAsia="宋体" w:cs="Times New Roman"/>
          <w:kern w:val="2"/>
          <w:sz w:val="21"/>
          <w:szCs w:val="24"/>
          <w:lang w:val="en-US" w:eastAsia="zh-CN" w:bidi="ar-SA"/>
        </w:rPr>
      </w:pPr>
    </w:p>
    <w:p>
      <w:pPr>
        <w:jc w:val="left"/>
        <w:rPr>
          <w:rFonts w:ascii="Times New Roman" w:hAnsi="Times New Roman" w:eastAsia="宋体" w:cs="Times New Roman"/>
          <w:kern w:val="2"/>
          <w:sz w:val="21"/>
          <w:szCs w:val="24"/>
          <w:lang w:val="en-US" w:eastAsia="zh-CN" w:bidi="ar-SA"/>
        </w:rPr>
      </w:pPr>
      <w:r>
        <w:rPr>
          <w:rFonts w:ascii="Times New Roman" w:hAnsi="Times New Roman" w:eastAsia="宋体" w:cs="Times New Roman"/>
          <w:kern w:val="2"/>
          <w:sz w:val="21"/>
          <w:szCs w:val="24"/>
          <w:lang w:val="en-US" w:eastAsia="zh-CN" w:bidi="ar-SA"/>
        </w:rPr>
        <w:object>
          <v:shape id="_x0000_i1028" o:spt="75" type="#_x0000_t75" style="height:426.8pt;width:639.5pt;" o:ole="t" filled="f" o:preferrelative="t" stroked="f" coordsize="21600,21600">
            <v:path/>
            <v:fill on="f" focussize="0,0"/>
            <v:stroke on="f"/>
            <v:imagedata r:id="rId31" o:title=""/>
            <o:lock v:ext="edit" aspectratio="f"/>
            <w10:wrap type="none"/>
            <w10:anchorlock/>
          </v:shape>
          <o:OLEObject Type="Embed" ProgID="Excel.Sheet.12" ShapeID="_x0000_i1028" DrawAspect="Content" ObjectID="_1468075728" r:id="rId30">
            <o:LockedField>false</o:LockedField>
          </o:OLEObject>
        </w:object>
      </w:r>
    </w:p>
    <w:p>
      <w:pPr>
        <w:rPr>
          <w:rFonts w:ascii="Times New Roman" w:hAnsi="Times New Roman" w:eastAsia="宋体" w:cs="Times New Roman"/>
          <w:kern w:val="2"/>
          <w:sz w:val="21"/>
          <w:szCs w:val="24"/>
          <w:lang w:val="en-US" w:eastAsia="zh-CN" w:bidi="ar-SA"/>
        </w:rPr>
      </w:pPr>
    </w:p>
    <w:p>
      <w:pPr>
        <w:jc w:val="left"/>
        <w:rPr>
          <w:rFonts w:ascii="Times New Roman" w:hAnsi="Times New Roman" w:eastAsia="宋体" w:cs="Times New Roman"/>
          <w:kern w:val="2"/>
          <w:sz w:val="21"/>
          <w:szCs w:val="24"/>
          <w:lang w:val="en-US" w:eastAsia="zh-CN" w:bidi="ar-SA"/>
        </w:rPr>
      </w:pPr>
    </w:p>
    <w:p>
      <w:pPr>
        <w:jc w:val="left"/>
        <w:rPr>
          <w:rFonts w:ascii="Times New Roman" w:hAnsi="Times New Roman" w:eastAsia="宋体" w:cs="Times New Roman"/>
          <w:kern w:val="2"/>
          <w:sz w:val="21"/>
          <w:szCs w:val="24"/>
          <w:lang w:val="en-US" w:eastAsia="zh-CN" w:bidi="ar-SA"/>
        </w:rPr>
      </w:pPr>
    </w:p>
    <w:p>
      <w:pPr>
        <w:jc w:val="left"/>
        <w:rPr>
          <w:rFonts w:ascii="Times New Roman" w:hAnsi="Times New Roman" w:eastAsia="宋体" w:cs="Times New Roman"/>
          <w:kern w:val="2"/>
          <w:sz w:val="21"/>
          <w:szCs w:val="24"/>
          <w:lang w:val="en-US" w:eastAsia="zh-CN" w:bidi="ar-SA"/>
        </w:rPr>
      </w:pPr>
      <w:r>
        <w:rPr>
          <w:rFonts w:ascii="Times New Roman" w:hAnsi="Times New Roman" w:eastAsia="宋体" w:cs="Times New Roman"/>
          <w:kern w:val="2"/>
          <w:sz w:val="21"/>
          <w:szCs w:val="24"/>
          <w:lang w:val="en-US" w:eastAsia="zh-CN" w:bidi="ar-SA"/>
        </w:rPr>
        <w:object>
          <v:shape id="_x0000_i1029" o:spt="75" type="#_x0000_t75" style="height:422.1pt;width:640.25pt;" o:ole="t" filled="f" o:preferrelative="t" stroked="f" coordsize="21600,21600">
            <v:path/>
            <v:fill on="f" focussize="0,0"/>
            <v:stroke on="f"/>
            <v:imagedata r:id="rId33" o:title=""/>
            <o:lock v:ext="edit" aspectratio="f"/>
            <w10:wrap type="none"/>
            <w10:anchorlock/>
          </v:shape>
          <o:OLEObject Type="Embed" ProgID="Excel.Sheet.12" ShapeID="_x0000_i1029" DrawAspect="Content" ObjectID="_1468075729" r:id="rId32">
            <o:LockedField>false</o:LockedField>
          </o:OLEObject>
        </w:object>
      </w:r>
    </w:p>
    <w:p>
      <w:pPr>
        <w:jc w:val="left"/>
        <w:rPr>
          <w:rFonts w:ascii="Times New Roman" w:hAnsi="Times New Roman" w:eastAsia="宋体" w:cs="Times New Roman"/>
          <w:kern w:val="2"/>
          <w:sz w:val="21"/>
          <w:szCs w:val="24"/>
          <w:lang w:val="en-US" w:eastAsia="zh-CN" w:bidi="ar-SA"/>
        </w:rPr>
      </w:pPr>
    </w:p>
    <w:p>
      <w:pPr>
        <w:jc w:val="left"/>
        <w:rPr>
          <w:rFonts w:ascii="Times New Roman" w:hAnsi="Times New Roman" w:eastAsia="宋体" w:cs="Times New Roman"/>
          <w:kern w:val="2"/>
          <w:sz w:val="21"/>
          <w:szCs w:val="24"/>
          <w:lang w:val="en-US" w:eastAsia="zh-CN" w:bidi="ar-SA"/>
        </w:rPr>
      </w:pPr>
    </w:p>
    <w:p>
      <w:pPr>
        <w:jc w:val="left"/>
        <w:rPr>
          <w:rFonts w:ascii="Times New Roman" w:hAnsi="Times New Roman" w:eastAsia="宋体" w:cs="Times New Roman"/>
          <w:kern w:val="2"/>
          <w:sz w:val="21"/>
          <w:szCs w:val="24"/>
          <w:lang w:val="en-US" w:eastAsia="zh-CN" w:bidi="ar-SA"/>
        </w:rPr>
      </w:pPr>
    </w:p>
    <w:p>
      <w:pPr>
        <w:jc w:val="left"/>
        <w:rPr>
          <w:rFonts w:ascii="Times New Roman" w:hAnsi="Times New Roman" w:eastAsia="宋体" w:cs="Times New Roman"/>
          <w:kern w:val="2"/>
          <w:sz w:val="21"/>
          <w:szCs w:val="24"/>
          <w:lang w:val="en-US" w:eastAsia="zh-CN" w:bidi="ar-SA"/>
        </w:rPr>
      </w:pPr>
      <w:r>
        <w:rPr>
          <w:rFonts w:ascii="Times New Roman" w:hAnsi="Times New Roman" w:eastAsia="宋体" w:cs="Times New Roman"/>
          <w:kern w:val="2"/>
          <w:sz w:val="21"/>
          <w:szCs w:val="24"/>
          <w:lang w:val="en-US" w:eastAsia="zh-CN" w:bidi="ar-SA"/>
        </w:rPr>
        <w:object>
          <v:shape id="_x0000_i1030" o:spt="75" type="#_x0000_t75" style="height:419.25pt;width:637.2pt;" o:ole="t" filled="f" o:preferrelative="t" stroked="f" coordsize="21600,21600">
            <v:path/>
            <v:fill on="f" focussize="0,0"/>
            <v:stroke on="f"/>
            <v:imagedata r:id="rId35" o:title=""/>
            <o:lock v:ext="edit" aspectratio="f"/>
            <w10:wrap type="none"/>
            <w10:anchorlock/>
          </v:shape>
          <o:OLEObject Type="Embed" ProgID="Excel.Sheet.12" ShapeID="_x0000_i1030" DrawAspect="Content" ObjectID="_1468075730" r:id="rId34">
            <o:LockedField>false</o:LockedField>
          </o:OLEObject>
        </w:object>
      </w:r>
    </w:p>
    <w:p>
      <w:pPr>
        <w:rPr>
          <w:rFonts w:ascii="Times New Roman" w:hAnsi="Times New Roman" w:eastAsia="宋体" w:cs="Times New Roman"/>
          <w:kern w:val="2"/>
          <w:sz w:val="21"/>
          <w:szCs w:val="24"/>
          <w:lang w:val="en-US" w:eastAsia="zh-CN" w:bidi="ar-SA"/>
        </w:rPr>
      </w:pPr>
    </w:p>
    <w:p>
      <w:pPr>
        <w:rPr>
          <w:rFonts w:ascii="Times New Roman" w:hAnsi="Times New Roman" w:eastAsia="宋体" w:cs="Times New Roman"/>
          <w:kern w:val="2"/>
          <w:sz w:val="21"/>
          <w:szCs w:val="24"/>
          <w:lang w:val="en-US" w:eastAsia="zh-CN" w:bidi="ar-SA"/>
        </w:rPr>
      </w:pPr>
    </w:p>
    <w:p>
      <w:pPr>
        <w:ind w:firstLine="339" w:firstLineChars="0"/>
        <w:jc w:val="left"/>
        <w:rPr>
          <w:rFonts w:ascii="Times New Roman" w:hAnsi="Times New Roman" w:eastAsia="宋体" w:cs="Times New Roman"/>
          <w:kern w:val="2"/>
          <w:sz w:val="21"/>
          <w:szCs w:val="24"/>
          <w:lang w:val="en-US" w:eastAsia="zh-CN" w:bidi="ar-SA"/>
        </w:rPr>
      </w:pPr>
    </w:p>
    <w:p>
      <w:pPr>
        <w:ind w:firstLine="339" w:firstLineChars="0"/>
        <w:jc w:val="left"/>
        <w:rPr>
          <w:rFonts w:ascii="Times New Roman" w:hAnsi="Times New Roman" w:eastAsia="宋体" w:cs="Times New Roman"/>
          <w:kern w:val="2"/>
          <w:sz w:val="21"/>
          <w:szCs w:val="24"/>
          <w:lang w:val="en-US" w:eastAsia="zh-CN" w:bidi="ar-SA"/>
        </w:rPr>
      </w:pPr>
    </w:p>
    <w:p>
      <w:pPr>
        <w:jc w:val="left"/>
        <w:rPr>
          <w:rFonts w:ascii="Times New Roman" w:hAnsi="Times New Roman" w:eastAsia="宋体" w:cs="Times New Roman"/>
          <w:kern w:val="2"/>
          <w:sz w:val="21"/>
          <w:szCs w:val="24"/>
          <w:lang w:val="en-US" w:eastAsia="zh-CN" w:bidi="ar-SA"/>
        </w:rPr>
      </w:pPr>
      <w:r>
        <w:rPr>
          <w:rFonts w:ascii="Times New Roman" w:hAnsi="Times New Roman" w:eastAsia="宋体" w:cs="Times New Roman"/>
          <w:kern w:val="2"/>
          <w:sz w:val="21"/>
          <w:szCs w:val="24"/>
          <w:lang w:val="en-US" w:eastAsia="zh-CN" w:bidi="ar-SA"/>
        </w:rPr>
        <w:object>
          <v:shape id="_x0000_i1031" o:spt="75" type="#_x0000_t75" style="height:404.8pt;width:643.9pt;" o:ole="t" filled="f" o:preferrelative="t" stroked="f" coordsize="21600,21600">
            <v:path/>
            <v:fill on="f" focussize="0,0"/>
            <v:stroke on="f"/>
            <v:imagedata r:id="rId37" o:title=""/>
            <o:lock v:ext="edit" aspectratio="f"/>
            <w10:wrap type="none"/>
            <w10:anchorlock/>
          </v:shape>
          <o:OLEObject Type="Embed" ProgID="Excel.Sheet.12" ShapeID="_x0000_i1031" DrawAspect="Content" ObjectID="_1468075731" r:id="rId36">
            <o:LockedField>false</o:LockedField>
          </o:OLEObject>
        </w:object>
      </w:r>
    </w:p>
    <w:p>
      <w:pPr>
        <w:ind w:firstLine="339" w:firstLineChars="0"/>
        <w:jc w:val="left"/>
        <w:rPr>
          <w:rFonts w:ascii="Times New Roman" w:hAnsi="Times New Roman" w:eastAsia="宋体" w:cs="Times New Roman"/>
          <w:kern w:val="2"/>
          <w:sz w:val="21"/>
          <w:szCs w:val="24"/>
          <w:lang w:val="en-US" w:eastAsia="zh-CN" w:bidi="ar-SA"/>
        </w:rPr>
      </w:pPr>
    </w:p>
    <w:p>
      <w:pPr>
        <w:ind w:firstLine="414" w:firstLineChars="0"/>
        <w:jc w:val="left"/>
        <w:rPr>
          <w:rFonts w:ascii="Times New Roman" w:hAnsi="Times New Roman" w:eastAsia="宋体" w:cs="Times New Roman"/>
          <w:kern w:val="2"/>
          <w:sz w:val="21"/>
          <w:szCs w:val="24"/>
          <w:lang w:val="en-US" w:eastAsia="zh-CN" w:bidi="ar-SA"/>
        </w:rPr>
      </w:pPr>
    </w:p>
    <w:p>
      <w:pPr>
        <w:jc w:val="left"/>
        <w:rPr>
          <w:rFonts w:ascii="Times New Roman" w:hAnsi="Times New Roman" w:eastAsia="宋体" w:cs="Times New Roman"/>
          <w:kern w:val="2"/>
          <w:sz w:val="21"/>
          <w:szCs w:val="24"/>
          <w:lang w:val="en-US" w:eastAsia="zh-CN" w:bidi="ar-SA"/>
        </w:rPr>
      </w:pPr>
      <w:r>
        <w:rPr>
          <w:rFonts w:ascii="Times New Roman" w:hAnsi="Times New Roman" w:eastAsia="宋体" w:cs="Times New Roman"/>
          <w:kern w:val="2"/>
          <w:sz w:val="21"/>
          <w:szCs w:val="24"/>
          <w:lang w:val="en-US" w:eastAsia="zh-CN" w:bidi="ar-SA"/>
        </w:rPr>
        <w:object>
          <v:shape id="_x0000_i1032" o:spt="75" type="#_x0000_t75" style="height:434.8pt;width:640.95pt;" o:ole="t" filled="f" o:preferrelative="t" stroked="f" coordsize="21600,21600">
            <v:path/>
            <v:fill on="f" focussize="0,0"/>
            <v:stroke on="f"/>
            <v:imagedata r:id="rId39" o:title=""/>
            <o:lock v:ext="edit" aspectratio="f"/>
            <w10:wrap type="none"/>
            <w10:anchorlock/>
          </v:shape>
          <o:OLEObject Type="Embed" ProgID="Excel.Sheet.12" ShapeID="_x0000_i1032" DrawAspect="Content" ObjectID="_1468075732" r:id="rId38">
            <o:LockedField>false</o:LockedField>
          </o:OLEObject>
        </w:object>
      </w:r>
    </w:p>
    <w:p>
      <w:pPr>
        <w:jc w:val="left"/>
        <w:rPr>
          <w:rFonts w:ascii="Times New Roman" w:hAnsi="Times New Roman" w:eastAsia="宋体" w:cs="Times New Roman"/>
          <w:kern w:val="2"/>
          <w:sz w:val="21"/>
          <w:szCs w:val="24"/>
          <w:lang w:val="en-US" w:eastAsia="zh-CN" w:bidi="ar-SA"/>
        </w:rPr>
      </w:pPr>
    </w:p>
    <w:p>
      <w:pPr>
        <w:jc w:val="left"/>
        <w:rPr>
          <w:rFonts w:ascii="Times New Roman" w:hAnsi="Times New Roman" w:eastAsia="宋体" w:cs="Times New Roman"/>
          <w:kern w:val="2"/>
          <w:sz w:val="21"/>
          <w:szCs w:val="24"/>
          <w:lang w:val="en-US" w:eastAsia="zh-CN" w:bidi="ar-SA"/>
        </w:rPr>
      </w:pPr>
    </w:p>
    <w:p>
      <w:pPr>
        <w:jc w:val="left"/>
        <w:rPr>
          <w:rFonts w:ascii="Times New Roman" w:hAnsi="Times New Roman" w:eastAsia="宋体" w:cs="Times New Roman"/>
          <w:kern w:val="2"/>
          <w:sz w:val="21"/>
          <w:szCs w:val="24"/>
          <w:lang w:val="en-US" w:eastAsia="zh-CN" w:bidi="ar-SA"/>
        </w:rPr>
      </w:pPr>
      <w:r>
        <w:rPr>
          <w:rFonts w:ascii="Times New Roman" w:hAnsi="Times New Roman" w:eastAsia="宋体" w:cs="Times New Roman"/>
          <w:kern w:val="2"/>
          <w:sz w:val="21"/>
          <w:szCs w:val="24"/>
          <w:lang w:val="en-US" w:eastAsia="zh-CN" w:bidi="ar-SA"/>
        </w:rPr>
        <w:object>
          <v:shape id="_x0000_i1033" o:spt="75" type="#_x0000_t75" style="height:411.6pt;width:639.5pt;" o:ole="t" filled="f" o:preferrelative="t" stroked="f" coordsize="21600,21600">
            <v:path/>
            <v:fill on="f" focussize="0,0"/>
            <v:stroke on="f"/>
            <v:imagedata r:id="rId41" o:title=""/>
            <o:lock v:ext="edit" aspectratio="f"/>
            <w10:wrap type="none"/>
            <w10:anchorlock/>
          </v:shape>
          <o:OLEObject Type="Embed" ProgID="Excel.Sheet.12" ShapeID="_x0000_i1033" DrawAspect="Content" ObjectID="_1468075733" r:id="rId40">
            <o:LockedField>false</o:LockedField>
          </o:OLEObject>
        </w:object>
      </w:r>
    </w:p>
    <w:p>
      <w:pPr>
        <w:rPr>
          <w:rFonts w:ascii="Times New Roman" w:hAnsi="Times New Roman" w:eastAsia="宋体" w:cs="Times New Roman"/>
          <w:kern w:val="2"/>
          <w:sz w:val="21"/>
          <w:szCs w:val="24"/>
          <w:lang w:val="en-US" w:eastAsia="zh-CN" w:bidi="ar-SA"/>
        </w:rPr>
      </w:pPr>
    </w:p>
    <w:p>
      <w:pPr>
        <w:rPr>
          <w:rFonts w:ascii="Times New Roman" w:hAnsi="Times New Roman" w:eastAsia="宋体" w:cs="Times New Roman"/>
          <w:kern w:val="2"/>
          <w:sz w:val="21"/>
          <w:szCs w:val="24"/>
          <w:lang w:val="en-US" w:eastAsia="zh-CN" w:bidi="ar-SA"/>
        </w:rPr>
      </w:pPr>
    </w:p>
    <w:p>
      <w:pPr>
        <w:rPr>
          <w:rFonts w:ascii="Times New Roman" w:hAnsi="Times New Roman" w:eastAsia="宋体" w:cs="Times New Roman"/>
          <w:kern w:val="2"/>
          <w:sz w:val="21"/>
          <w:szCs w:val="24"/>
          <w:lang w:val="en-US" w:eastAsia="zh-CN" w:bidi="ar-SA"/>
        </w:rPr>
      </w:pPr>
    </w:p>
    <w:p>
      <w:pPr>
        <w:jc w:val="left"/>
        <w:rPr>
          <w:rFonts w:ascii="Times New Roman" w:hAnsi="Times New Roman" w:eastAsia="宋体" w:cs="Times New Roman"/>
          <w:kern w:val="2"/>
          <w:sz w:val="21"/>
          <w:szCs w:val="24"/>
          <w:lang w:val="en-US" w:eastAsia="zh-CN" w:bidi="ar-SA"/>
        </w:rPr>
      </w:pPr>
    </w:p>
    <w:p>
      <w:pPr>
        <w:jc w:val="left"/>
        <w:rPr>
          <w:rFonts w:ascii="Times New Roman" w:hAnsi="Times New Roman" w:eastAsia="宋体" w:cs="Times New Roman"/>
          <w:kern w:val="2"/>
          <w:sz w:val="21"/>
          <w:szCs w:val="24"/>
          <w:lang w:val="en-US" w:eastAsia="zh-CN" w:bidi="ar-SA"/>
        </w:rPr>
      </w:pPr>
      <w:r>
        <w:rPr>
          <w:rFonts w:ascii="Times New Roman" w:hAnsi="Times New Roman" w:eastAsia="宋体" w:cs="Times New Roman"/>
          <w:kern w:val="2"/>
          <w:sz w:val="21"/>
          <w:szCs w:val="24"/>
          <w:lang w:val="en-US" w:eastAsia="zh-CN" w:bidi="ar-SA"/>
        </w:rPr>
        <w:object>
          <v:shape id="_x0000_i1034" o:spt="75" type="#_x0000_t75" style="height:405pt;width:642.45pt;" o:ole="t" filled="f" o:preferrelative="t" stroked="f" coordsize="21600,21600">
            <v:path/>
            <v:fill on="f" focussize="0,0"/>
            <v:stroke on="f"/>
            <v:imagedata r:id="rId43" o:title=""/>
            <o:lock v:ext="edit" aspectratio="f"/>
            <w10:wrap type="none"/>
            <w10:anchorlock/>
          </v:shape>
          <o:OLEObject Type="Embed" ProgID="Excel.Sheet.12" ShapeID="_x0000_i1034" DrawAspect="Content" ObjectID="_1468075734" r:id="rId42">
            <o:LockedField>false</o:LockedField>
          </o:OLEObject>
        </w:object>
      </w:r>
    </w:p>
    <w:p>
      <w:pPr>
        <w:rPr>
          <w:rFonts w:ascii="Times New Roman" w:hAnsi="Times New Roman" w:eastAsia="宋体" w:cs="Times New Roman"/>
          <w:kern w:val="2"/>
          <w:sz w:val="21"/>
          <w:szCs w:val="24"/>
          <w:lang w:val="en-US" w:eastAsia="zh-CN" w:bidi="ar-SA"/>
        </w:rPr>
      </w:pPr>
    </w:p>
    <w:p>
      <w:pPr>
        <w:ind w:firstLine="414" w:firstLineChars="0"/>
        <w:jc w:val="left"/>
        <w:rPr>
          <w:rFonts w:ascii="Times New Roman" w:hAnsi="Times New Roman" w:eastAsia="宋体" w:cs="Times New Roman"/>
          <w:kern w:val="2"/>
          <w:sz w:val="21"/>
          <w:szCs w:val="24"/>
          <w:lang w:val="en-US" w:eastAsia="zh-CN" w:bidi="ar-SA"/>
        </w:rPr>
      </w:pPr>
    </w:p>
    <w:p>
      <w:pPr>
        <w:ind w:firstLine="414" w:firstLineChars="0"/>
        <w:jc w:val="left"/>
        <w:rPr>
          <w:rFonts w:ascii="Times New Roman" w:hAnsi="Times New Roman" w:eastAsia="宋体" w:cs="Times New Roman"/>
          <w:kern w:val="2"/>
          <w:sz w:val="21"/>
          <w:szCs w:val="24"/>
          <w:lang w:val="en-US" w:eastAsia="zh-CN" w:bidi="ar-SA"/>
        </w:rPr>
      </w:pPr>
    </w:p>
    <w:p>
      <w:pPr>
        <w:ind w:firstLine="414" w:firstLineChars="0"/>
        <w:jc w:val="left"/>
        <w:rPr>
          <w:rFonts w:ascii="Times New Roman" w:hAnsi="Times New Roman" w:eastAsia="宋体" w:cs="Times New Roman"/>
          <w:kern w:val="2"/>
          <w:sz w:val="21"/>
          <w:szCs w:val="24"/>
          <w:lang w:val="en-US" w:eastAsia="zh-CN" w:bidi="ar-SA"/>
        </w:rPr>
      </w:pPr>
    </w:p>
    <w:p>
      <w:pPr>
        <w:keepNext w:val="0"/>
        <w:keepLines w:val="0"/>
        <w:pageBreakBefore w:val="0"/>
        <w:widowControl w:val="0"/>
        <w:tabs>
          <w:tab w:val="left" w:pos="8415"/>
        </w:tabs>
        <w:kinsoku/>
        <w:wordWrap/>
        <w:overflowPunct/>
        <w:topLinePunct w:val="0"/>
        <w:autoSpaceDE/>
        <w:autoSpaceDN/>
        <w:bidi w:val="0"/>
        <w:adjustRightInd/>
        <w:snapToGrid/>
        <w:textAlignment w:val="auto"/>
      </w:pPr>
      <w:r>
        <w:rPr>
          <w:rFonts w:ascii="Times New Roman" w:hAnsi="Times New Roman" w:eastAsia="宋体" w:cs="Times New Roman"/>
          <w:kern w:val="2"/>
          <w:sz w:val="21"/>
          <w:szCs w:val="24"/>
          <w:lang w:val="en-US" w:eastAsia="zh-CN" w:bidi="ar-SA"/>
        </w:rPr>
        <w:object>
          <v:shape id="_x0000_i1035" o:spt="75" type="#_x0000_t75" style="height:424.35pt;width:642.45pt;" o:ole="t" filled="f" o:preferrelative="t" stroked="f" coordsize="21600,21600">
            <v:path/>
            <v:fill on="f" focussize="0,0"/>
            <v:stroke on="f"/>
            <v:imagedata r:id="rId45" o:title=""/>
            <o:lock v:ext="edit" aspectratio="f"/>
            <w10:wrap type="none"/>
            <w10:anchorlock/>
          </v:shape>
          <o:OLEObject Type="Embed" ProgID="Excel.Sheet.12" ShapeID="_x0000_i1035" DrawAspect="Content" ObjectID="_1468075735" r:id="rId44">
            <o:LockedField>false</o:LockedField>
          </o:OLEObject>
        </w:object>
      </w:r>
    </w:p>
    <w:sectPr>
      <w:pgSz w:w="16838" w:h="11906" w:orient="landscape"/>
      <w:pgMar w:top="1083" w:right="1984" w:bottom="1083" w:left="1984" w:header="0" w:footer="720" w:gutter="0"/>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舒体">
    <w:altName w:val="宋体"/>
    <w:panose1 w:val="02010601030101010101"/>
    <w:charset w:val="86"/>
    <w:family w:val="auto"/>
    <w:pitch w:val="default"/>
    <w:sig w:usb0="00000000" w:usb1="00000000" w:usb2="00000000" w:usb3="00000000" w:csb0="00040000" w:csb1="00000000"/>
  </w:font>
  <w:font w:name="KSOFBFDA8B98">
    <w:altName w:val="宋体"/>
    <w:panose1 w:val="02010601030101010101"/>
    <w:charset w:val="86"/>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FangSong_GB2312">
    <w:altName w:val="仿宋_GB2312"/>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等线">
    <w:altName w:val="Segoe Print"/>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A00002EF" w:usb1="4000207B" w:usb2="00000000" w:usb3="00000000" w:csb0="2000019F" w:csb1="00000000"/>
  </w:font>
  <w:font w:name="Segoe Print">
    <w:panose1 w:val="02000600000000000000"/>
    <w:charset w:val="00"/>
    <w:family w:val="auto"/>
    <w:pitch w:val="default"/>
    <w:sig w:usb0="0000028F" w:usb1="00000000" w:usb2="00000000" w:usb3="00000000" w:csb0="2000009F" w:csb1="47010000"/>
  </w:font>
  <w:font w:name="@宋体">
    <w:panose1 w:val="02010600030101010101"/>
    <w:charset w:val="86"/>
    <w:family w:val="auto"/>
    <w:pitch w:val="default"/>
    <w:sig w:usb0="00000003" w:usb1="288F0000" w:usb2="00000006" w:usb3="00000000" w:csb0="00040001" w:csb1="00000000"/>
  </w:font>
  <w:font w:name="Helvetica">
    <w:altName w:val="Aria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w:t>
    </w:r>
    <w:r>
      <w:rPr>
        <w:rFonts w:ascii="宋体" w:hAnsi="宋体" w:eastAsia="宋体" w:cs="宋体"/>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w:t>
    </w:r>
    <w:r>
      <w:rPr>
        <w:rFonts w:ascii="宋体" w:hAnsi="宋体" w:eastAsia="宋体" w:cs="宋体"/>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w:t>
    </w:r>
    <w:r>
      <w:rPr>
        <w:rFonts w:ascii="宋体" w:hAnsi="宋体" w:eastAsia="宋体" w:cs="宋体"/>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5</w:t>
    </w:r>
    <w:r>
      <w:rPr>
        <w:rFonts w:ascii="宋体" w:hAnsi="宋体" w:eastAsia="宋体" w:cs="宋体"/>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9</w:t>
    </w:r>
    <w:r>
      <w:rPr>
        <w:rFonts w:ascii="宋体" w:hAnsi="宋体" w:eastAsia="宋体" w:cs="宋体"/>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12</w:t>
    </w:r>
    <w:r>
      <w:rPr>
        <w:rFonts w:ascii="宋体" w:hAnsi="宋体" w:eastAsia="宋体" w:cs="宋体"/>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15</w:t>
    </w:r>
    <w:r>
      <w:rPr>
        <w:rFonts w:ascii="宋体" w:hAnsi="宋体" w:eastAsia="宋体" w:cs="宋体"/>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17</w:t>
    </w:r>
    <w:r>
      <w:rPr>
        <w:rFonts w:ascii="宋体" w:hAnsi="宋体" w:eastAsia="宋体" w:cs="宋体"/>
        <w:sz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20</w:t>
    </w:r>
    <w:r>
      <w:rPr>
        <w:rFonts w:ascii="宋体" w:hAnsi="宋体" w:eastAsia="宋体" w:cs="宋体"/>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21</w:t>
    </w:r>
    <w:r>
      <w:rPr>
        <w:rFonts w:ascii="宋体" w:hAnsi="宋体" w:eastAsia="宋体" w:cs="宋体"/>
        <w:sz w:val="18"/>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22</w:t>
    </w:r>
    <w:r>
      <w:rPr>
        <w:rFonts w:ascii="宋体" w:hAnsi="宋体" w:eastAsia="宋体" w:cs="宋体"/>
        <w:sz w:val="18"/>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23</w:t>
    </w:r>
    <w:r>
      <w:rPr>
        <w:rFonts w:ascii="宋体" w:hAnsi="宋体" w:eastAsia="宋体" w:cs="宋体"/>
        <w:sz w:val="18"/>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24</w:t>
    </w:r>
    <w:r>
      <w:rPr>
        <w:rFonts w:ascii="宋体" w:hAnsi="宋体" w:eastAsia="宋体" w:cs="宋体"/>
        <w:sz w:val="18"/>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31</w:t>
    </w:r>
    <w:r>
      <w:rPr>
        <w:rFonts w:ascii="宋体" w:hAnsi="宋体" w:eastAsia="宋体" w:cs="宋体"/>
        <w:sz w:val="18"/>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33</w:t>
    </w:r>
    <w:r>
      <w:rPr>
        <w:rFonts w:ascii="宋体" w:hAnsi="宋体" w:eastAsia="宋体" w:cs="宋体"/>
        <w:sz w:val="18"/>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35</w:t>
    </w:r>
    <w:r>
      <w:rPr>
        <w:rFonts w:ascii="宋体" w:hAnsi="宋体" w:eastAsia="宋体" w:cs="宋体"/>
        <w:sz w:val="1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2A97829"/>
    <w:rsid w:val="6EC4636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仿宋"/>
      <w:bCs/>
      <w:kern w:val="44"/>
      <w:sz w:val="32"/>
      <w:szCs w:val="44"/>
    </w:rPr>
  </w:style>
  <w:style w:type="paragraph" w:styleId="3">
    <w:name w:val="heading 2"/>
    <w:basedOn w:val="4"/>
    <w:next w:val="4"/>
    <w:qFormat/>
    <w:uiPriority w:val="0"/>
    <w:pPr>
      <w:keepNext/>
      <w:keepLines/>
      <w:spacing w:before="260" w:after="260" w:line="416" w:lineRule="auto"/>
      <w:outlineLvl w:val="1"/>
    </w:pPr>
    <w:rPr>
      <w:rFonts w:ascii="Arial" w:hAnsi="Arial" w:eastAsia="仿宋"/>
      <w:bCs/>
      <w:sz w:val="32"/>
      <w:szCs w:val="32"/>
    </w:rPr>
  </w:style>
  <w:style w:type="paragraph" w:styleId="5">
    <w:name w:val="heading 3"/>
    <w:basedOn w:val="4"/>
    <w:next w:val="4"/>
    <w:link w:val="23"/>
    <w:qFormat/>
    <w:uiPriority w:val="0"/>
    <w:pPr>
      <w:keepNext/>
      <w:keepLines/>
      <w:spacing w:before="260" w:after="260" w:line="416" w:lineRule="auto"/>
      <w:outlineLvl w:val="2"/>
    </w:pPr>
    <w:rPr>
      <w:rFonts w:eastAsia="仿宋"/>
      <w:bCs/>
      <w:sz w:val="32"/>
      <w:szCs w:val="32"/>
    </w:rPr>
  </w:style>
  <w:style w:type="paragraph" w:styleId="6">
    <w:name w:val="heading 4"/>
    <w:basedOn w:val="4"/>
    <w:next w:val="4"/>
    <w:link w:val="24"/>
    <w:qFormat/>
    <w:uiPriority w:val="0"/>
    <w:pPr>
      <w:keepNext/>
      <w:keepLines/>
      <w:spacing w:before="280" w:after="290" w:line="376" w:lineRule="auto"/>
      <w:outlineLvl w:val="3"/>
    </w:pPr>
    <w:rPr>
      <w:rFonts w:ascii="Cambria" w:hAnsi="Cambria" w:eastAsia="仿宋"/>
      <w:bCs/>
      <w:sz w:val="32"/>
      <w:szCs w:val="28"/>
    </w:rPr>
  </w:style>
  <w:style w:type="character" w:default="1" w:styleId="19">
    <w:name w:val="Default Paragraph Font"/>
    <w:unhideWhenUsed/>
    <w:qFormat/>
    <w:uiPriority w:val="1"/>
  </w:style>
  <w:style w:type="table" w:default="1" w:styleId="22">
    <w:name w:val="Normal Table"/>
    <w:unhideWhenUsed/>
    <w:qFormat/>
    <w:uiPriority w:val="99"/>
    <w:tblPr>
      <w:tblLayout w:type="fixed"/>
      <w:tblCellMar>
        <w:top w:w="0" w:type="dxa"/>
        <w:left w:w="108" w:type="dxa"/>
        <w:bottom w:w="0" w:type="dxa"/>
        <w:right w:w="108" w:type="dxa"/>
      </w:tblCellMar>
    </w:tblPr>
  </w:style>
  <w:style w:type="paragraph" w:customStyle="1" w:styleId="4">
    <w:name w:val="No Spacing"/>
    <w:link w:val="25"/>
    <w:qFormat/>
    <w:uiPriority w:val="0"/>
    <w:pPr>
      <w:ind w:firstLine="200" w:firstLineChars="200"/>
    </w:pPr>
    <w:rPr>
      <w:rFonts w:ascii="Times New Roman" w:hAnsi="Times New Roman" w:eastAsia="仿宋_GB2312" w:cs="Times New Roman"/>
      <w:sz w:val="30"/>
      <w:szCs w:val="22"/>
      <w:lang w:val="en-US" w:eastAsia="zh-CN" w:bidi="ar-SA"/>
    </w:rPr>
  </w:style>
  <w:style w:type="paragraph" w:styleId="7">
    <w:name w:val="toc 7"/>
    <w:basedOn w:val="1"/>
    <w:next w:val="1"/>
    <w:qFormat/>
    <w:uiPriority w:val="0"/>
    <w:pPr>
      <w:ind w:left="1260"/>
      <w:jc w:val="left"/>
    </w:pPr>
    <w:rPr>
      <w:sz w:val="20"/>
      <w:szCs w:val="20"/>
    </w:rPr>
  </w:style>
  <w:style w:type="paragraph" w:styleId="8">
    <w:name w:val="Document Map"/>
    <w:basedOn w:val="1"/>
    <w:qFormat/>
    <w:uiPriority w:val="0"/>
    <w:pPr>
      <w:shd w:val="clear" w:color="auto" w:fill="000080"/>
    </w:pPr>
  </w:style>
  <w:style w:type="paragraph" w:styleId="9">
    <w:name w:val="toc 5"/>
    <w:basedOn w:val="1"/>
    <w:next w:val="1"/>
    <w:qFormat/>
    <w:uiPriority w:val="0"/>
    <w:pPr>
      <w:ind w:left="840"/>
      <w:jc w:val="left"/>
    </w:pPr>
    <w:rPr>
      <w:sz w:val="20"/>
      <w:szCs w:val="20"/>
    </w:rPr>
  </w:style>
  <w:style w:type="paragraph" w:styleId="10">
    <w:name w:val="toc 3"/>
    <w:next w:val="5"/>
    <w:qFormat/>
    <w:uiPriority w:val="0"/>
    <w:pPr>
      <w:adjustRightInd w:val="0"/>
      <w:snapToGrid w:val="0"/>
      <w:spacing w:line="360" w:lineRule="auto"/>
      <w:ind w:firstLine="400" w:firstLineChars="400"/>
      <w:jc w:val="left"/>
    </w:pPr>
    <w:rPr>
      <w:rFonts w:ascii="Times New Roman" w:hAnsi="Times New Roman" w:eastAsia="仿宋" w:cs="Times New Roman"/>
      <w:sz w:val="32"/>
      <w:szCs w:val="20"/>
      <w:lang w:val="en-US" w:eastAsia="en-US" w:bidi="ar-SA"/>
    </w:rPr>
  </w:style>
  <w:style w:type="paragraph" w:styleId="11">
    <w:name w:val="toc 8"/>
    <w:basedOn w:val="1"/>
    <w:next w:val="1"/>
    <w:qFormat/>
    <w:uiPriority w:val="0"/>
    <w:pPr>
      <w:ind w:left="1470"/>
      <w:jc w:val="left"/>
    </w:pPr>
    <w:rPr>
      <w:sz w:val="20"/>
      <w:szCs w:val="20"/>
    </w:rPr>
  </w:style>
  <w:style w:type="paragraph" w:styleId="12">
    <w:name w:val="footer"/>
    <w:basedOn w:val="1"/>
    <w:link w:val="26"/>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next w:val="4"/>
    <w:qFormat/>
    <w:uiPriority w:val="0"/>
    <w:pPr>
      <w:adjustRightInd w:val="0"/>
      <w:snapToGrid w:val="0"/>
      <w:spacing w:line="360" w:lineRule="auto"/>
      <w:jc w:val="left"/>
    </w:pPr>
    <w:rPr>
      <w:rFonts w:ascii="Times New Roman" w:hAnsi="Times New Roman" w:eastAsia="仿宋" w:cs="Times New Roman"/>
      <w:bCs/>
      <w:sz w:val="32"/>
      <w:szCs w:val="20"/>
      <w:lang w:val="en-US" w:eastAsia="en-US" w:bidi="ar-SA"/>
    </w:rPr>
  </w:style>
  <w:style w:type="paragraph" w:styleId="15">
    <w:name w:val="toc 4"/>
    <w:basedOn w:val="1"/>
    <w:next w:val="1"/>
    <w:qFormat/>
    <w:uiPriority w:val="0"/>
    <w:pPr>
      <w:ind w:left="630"/>
      <w:jc w:val="left"/>
    </w:pPr>
    <w:rPr>
      <w:sz w:val="20"/>
      <w:szCs w:val="20"/>
    </w:rPr>
  </w:style>
  <w:style w:type="paragraph" w:styleId="16">
    <w:name w:val="toc 6"/>
    <w:basedOn w:val="1"/>
    <w:next w:val="1"/>
    <w:qFormat/>
    <w:uiPriority w:val="0"/>
    <w:pPr>
      <w:ind w:left="1050"/>
      <w:jc w:val="left"/>
    </w:pPr>
    <w:rPr>
      <w:sz w:val="20"/>
      <w:szCs w:val="20"/>
    </w:rPr>
  </w:style>
  <w:style w:type="paragraph" w:styleId="17">
    <w:name w:val="toc 2"/>
    <w:next w:val="4"/>
    <w:qFormat/>
    <w:uiPriority w:val="0"/>
    <w:pPr>
      <w:adjustRightInd w:val="0"/>
      <w:snapToGrid w:val="0"/>
      <w:spacing w:line="360" w:lineRule="auto"/>
      <w:ind w:firstLine="200" w:firstLineChars="200"/>
      <w:jc w:val="left"/>
    </w:pPr>
    <w:rPr>
      <w:rFonts w:ascii="Times New Roman" w:hAnsi="Times New Roman" w:eastAsia="仿宋" w:cs="Times New Roman"/>
      <w:b/>
      <w:iCs/>
      <w:sz w:val="32"/>
      <w:szCs w:val="20"/>
      <w:lang w:val="en-US" w:eastAsia="en-US" w:bidi="ar-SA"/>
    </w:rPr>
  </w:style>
  <w:style w:type="paragraph" w:styleId="18">
    <w:name w:val="toc 9"/>
    <w:basedOn w:val="1"/>
    <w:next w:val="1"/>
    <w:qFormat/>
    <w:uiPriority w:val="0"/>
    <w:pPr>
      <w:ind w:left="1680"/>
      <w:jc w:val="left"/>
    </w:pPr>
    <w:rPr>
      <w:sz w:val="20"/>
      <w:szCs w:val="20"/>
    </w:rPr>
  </w:style>
  <w:style w:type="character" w:styleId="20">
    <w:name w:val="page number"/>
    <w:basedOn w:val="19"/>
    <w:qFormat/>
    <w:uiPriority w:val="0"/>
  </w:style>
  <w:style w:type="character" w:styleId="21">
    <w:name w:val="Hyperlink"/>
    <w:qFormat/>
    <w:uiPriority w:val="0"/>
    <w:rPr>
      <w:rFonts w:ascii="宋体" w:hAnsi="宋体" w:eastAsia="仿宋" w:cs="Times New Roman"/>
      <w:kern w:val="2"/>
      <w:sz w:val="32"/>
      <w:szCs w:val="32"/>
      <w:lang w:val="en-US" w:eastAsia="zh-CN" w:bidi="ar-SA"/>
    </w:rPr>
  </w:style>
  <w:style w:type="character" w:customStyle="1" w:styleId="23">
    <w:name w:val="标题 3 字符"/>
    <w:basedOn w:val="19"/>
    <w:link w:val="5"/>
    <w:qFormat/>
    <w:uiPriority w:val="0"/>
    <w:rPr>
      <w:rFonts w:eastAsia="仿宋"/>
      <w:bCs/>
      <w:kern w:val="2"/>
      <w:sz w:val="32"/>
      <w:szCs w:val="32"/>
    </w:rPr>
  </w:style>
  <w:style w:type="character" w:customStyle="1" w:styleId="24">
    <w:name w:val="标题 4 字符"/>
    <w:basedOn w:val="19"/>
    <w:link w:val="6"/>
    <w:qFormat/>
    <w:uiPriority w:val="0"/>
    <w:rPr>
      <w:rFonts w:ascii="Cambria" w:hAnsi="Cambria" w:eastAsia="仿宋"/>
      <w:bCs/>
      <w:kern w:val="2"/>
      <w:sz w:val="32"/>
      <w:szCs w:val="28"/>
    </w:rPr>
  </w:style>
  <w:style w:type="character" w:customStyle="1" w:styleId="25">
    <w:name w:val="无间隔 字符"/>
    <w:link w:val="4"/>
    <w:qFormat/>
    <w:locked/>
    <w:uiPriority w:val="0"/>
    <w:rPr>
      <w:rFonts w:eastAsia="仿宋_GB2312"/>
      <w:sz w:val="30"/>
      <w:szCs w:val="22"/>
      <w:lang w:bidi="ar-SA"/>
    </w:rPr>
  </w:style>
  <w:style w:type="character" w:customStyle="1" w:styleId="26">
    <w:name w:val="页脚 字符"/>
    <w:basedOn w:val="19"/>
    <w:link w:val="12"/>
    <w:qFormat/>
    <w:uiPriority w:val="0"/>
    <w:rPr>
      <w:kern w:val="2"/>
      <w:sz w:val="18"/>
      <w:szCs w:val="18"/>
    </w:rPr>
  </w:style>
  <w:style w:type="paragraph" w:customStyle="1" w:styleId="27">
    <w:name w:val="List Paragraph"/>
    <w:basedOn w:val="1"/>
    <w:qFormat/>
    <w:uiPriority w:val="0"/>
    <w:pPr>
      <w:ind w:firstLine="420" w:firstLineChars="200"/>
    </w:pPr>
  </w:style>
  <w:style w:type="paragraph" w:customStyle="1" w:styleId="28">
    <w:name w:val="MsoNormal"/>
    <w:basedOn w:val="1"/>
    <w:qFormat/>
    <w:uiPriority w:val="0"/>
  </w:style>
  <w:style w:type="paragraph" w:customStyle="1" w:styleId="29">
    <w:name w:val="p"/>
    <w:basedOn w:val="1"/>
    <w:qFormat/>
    <w:uiPriority w:val="0"/>
  </w:style>
  <w:style w:type="paragraph" w:customStyle="1" w:styleId="30">
    <w:name w:val="15"/>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8" Type="http://schemas.openxmlformats.org/officeDocument/2006/relationships/fontTable" Target="fontTable.xml"/><Relationship Id="rId47" Type="http://schemas.openxmlformats.org/officeDocument/2006/relationships/customXml" Target="../customXml/item2.xml"/><Relationship Id="rId46" Type="http://schemas.openxmlformats.org/officeDocument/2006/relationships/customXml" Target="../customXml/item1.xml"/><Relationship Id="rId45" Type="http://schemas.openxmlformats.org/officeDocument/2006/relationships/image" Target="media/image11.emf"/><Relationship Id="rId44" Type="http://schemas.openxmlformats.org/officeDocument/2006/relationships/oleObject" Target="embeddings/oleObject11.bin"/><Relationship Id="rId43" Type="http://schemas.openxmlformats.org/officeDocument/2006/relationships/image" Target="media/image10.emf"/><Relationship Id="rId42" Type="http://schemas.openxmlformats.org/officeDocument/2006/relationships/oleObject" Target="embeddings/oleObject10.bin"/><Relationship Id="rId41" Type="http://schemas.openxmlformats.org/officeDocument/2006/relationships/image" Target="media/image9.emf"/><Relationship Id="rId40" Type="http://schemas.openxmlformats.org/officeDocument/2006/relationships/oleObject" Target="embeddings/oleObject9.bin"/><Relationship Id="rId4" Type="http://schemas.openxmlformats.org/officeDocument/2006/relationships/footer" Target="footer1.xml"/><Relationship Id="rId39" Type="http://schemas.openxmlformats.org/officeDocument/2006/relationships/image" Target="media/image8.emf"/><Relationship Id="rId38" Type="http://schemas.openxmlformats.org/officeDocument/2006/relationships/oleObject" Target="embeddings/oleObject8.bin"/><Relationship Id="rId37" Type="http://schemas.openxmlformats.org/officeDocument/2006/relationships/image" Target="media/image7.emf"/><Relationship Id="rId36" Type="http://schemas.openxmlformats.org/officeDocument/2006/relationships/oleObject" Target="embeddings/oleObject7.bin"/><Relationship Id="rId35" Type="http://schemas.openxmlformats.org/officeDocument/2006/relationships/image" Target="media/image6.emf"/><Relationship Id="rId34" Type="http://schemas.openxmlformats.org/officeDocument/2006/relationships/oleObject" Target="embeddings/oleObject6.bin"/><Relationship Id="rId33" Type="http://schemas.openxmlformats.org/officeDocument/2006/relationships/image" Target="media/image5.emf"/><Relationship Id="rId32" Type="http://schemas.openxmlformats.org/officeDocument/2006/relationships/oleObject" Target="embeddings/oleObject5.bin"/><Relationship Id="rId31" Type="http://schemas.openxmlformats.org/officeDocument/2006/relationships/image" Target="media/image4.e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3.emf"/><Relationship Id="rId28" Type="http://schemas.openxmlformats.org/officeDocument/2006/relationships/oleObject" Target="embeddings/oleObject3.bin"/><Relationship Id="rId27" Type="http://schemas.openxmlformats.org/officeDocument/2006/relationships/image" Target="media/image2.emf"/><Relationship Id="rId26" Type="http://schemas.openxmlformats.org/officeDocument/2006/relationships/oleObject" Target="embeddings/oleObject2.bin"/><Relationship Id="rId25" Type="http://schemas.openxmlformats.org/officeDocument/2006/relationships/image" Target="media/image1.emf"/><Relationship Id="rId24" Type="http://schemas.openxmlformats.org/officeDocument/2006/relationships/oleObject" Target="embeddings/oleObject1.bin"/><Relationship Id="rId23" Type="http://schemas.openxmlformats.org/officeDocument/2006/relationships/theme" Target="theme/theme1.xml"/><Relationship Id="rId22" Type="http://schemas.openxmlformats.org/officeDocument/2006/relationships/footer" Target="footer19.xml"/><Relationship Id="rId21" Type="http://schemas.openxmlformats.org/officeDocument/2006/relationships/footer" Target="footer18.xml"/><Relationship Id="rId20" Type="http://schemas.openxmlformats.org/officeDocument/2006/relationships/footer" Target="footer17.xml"/><Relationship Id="rId2" Type="http://schemas.openxmlformats.org/officeDocument/2006/relationships/settings" Target="settings.xml"/><Relationship Id="rId19" Type="http://schemas.openxmlformats.org/officeDocument/2006/relationships/footer" Target="footer16.xml"/><Relationship Id="rId18" Type="http://schemas.openxmlformats.org/officeDocument/2006/relationships/footer" Target="footer15.xml"/><Relationship Id="rId17" Type="http://schemas.openxmlformats.org/officeDocument/2006/relationships/footer" Target="footer14.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dr="http://schemas.openxmlformats.org/drawingml/2006/chartDrawing" xmlns:c="http://schemas.openxmlformats.org/drawingml/2006/chart"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7559B6-2DC7-41B5-818F-6E7F243775C0}">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38</Pages>
  <Words>20</Words>
  <Characters>35</Characters>
  <Lines>1</Lines>
  <Paragraphs>1</Paragraphs>
  <TotalTime>1</TotalTime>
  <ScaleCrop>false</ScaleCrop>
  <LinksUpToDate>false</LinksUpToDate>
  <CharactersWithSpaces>36</CharactersWithSpaces>
  <Application>WPS Office_10.8.0.6470_F1E327BC-269C-435d-A152-05C5408002CA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Administrator</cp:lastModifiedBy>
  <cp:lastPrinted>2021-04-16T00:45:00Z</cp:lastPrinted>
  <dcterms:modified xsi:type="dcterms:W3CDTF">2026-08-19T01:22:31Z</dcterms:modified>
  <dc:title>××年度××部门/单位</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432A2B29825044B2829BE3A0156B93DD_13</vt:lpwstr>
  </property>
  <property fmtid="{D5CDD505-2E9C-101B-9397-08002B2CF9AE}" pid="3" name="KSOProductBuildVer">
    <vt:lpwstr>2052-10.8.0.6470</vt:lpwstr>
  </property>
  <property fmtid="{D5CDD505-2E9C-101B-9397-08002B2CF9AE}" pid="4" name="KSOTemplateDocerSaveRecord">
    <vt:lpwstr>eyJoZGlkIjoiMjBmNzFhNTE2ODA4NWNjMzY3MDUyM2Q1MGJjODVmODYiLCJ1c2VySWQiOiIzNzI5MDg1NDQifQ==</vt:lpwstr>
  </property>
</Properties>
</file>