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widowControl/>
        <w:jc w:val="center"/>
        <w:rPr>
          <w:sz w:val="32"/>
          <w:szCs w:val="32"/>
          <w:highlight w:val="none"/>
        </w:rPr>
      </w:pPr>
    </w:p>
    <w:p>
      <w:pPr>
        <w:widowControl/>
        <w:jc w:val="both"/>
        <w:rPr>
          <w:sz w:val="84"/>
          <w:szCs w:val="84"/>
          <w:highlight w:val="none"/>
        </w:rPr>
      </w:pPr>
    </w:p>
    <w:p>
      <w:pPr>
        <w:widowControl/>
        <w:jc w:val="center"/>
        <w:rPr>
          <w:rFonts w:hint="eastAsia" w:ascii="方正小标宋简体" w:eastAsia="方正小标宋简体"/>
          <w:b/>
          <w:bCs/>
          <w:sz w:val="84"/>
          <w:szCs w:val="84"/>
          <w:highlight w:val="none"/>
        </w:rPr>
      </w:pPr>
      <w:r>
        <w:rPr>
          <w:rFonts w:hint="eastAsia" w:ascii="方正小标宋简体" w:eastAsia="方正小标宋简体"/>
          <w:b/>
          <w:bCs/>
          <w:sz w:val="84"/>
          <w:szCs w:val="84"/>
          <w:highlight w:val="none"/>
          <w:lang w:val="en-US" w:eastAsia="zh-CN"/>
        </w:rPr>
        <w:t>2025</w:t>
      </w:r>
      <w:r>
        <w:rPr>
          <w:rFonts w:hint="eastAsia" w:ascii="方正小标宋简体" w:eastAsia="方正小标宋简体"/>
          <w:b/>
          <w:bCs/>
          <w:sz w:val="84"/>
          <w:szCs w:val="84"/>
          <w:highlight w:val="none"/>
        </w:rPr>
        <w:t>年度</w:t>
      </w:r>
    </w:p>
    <w:p>
      <w:pPr>
        <w:widowControl/>
        <w:jc w:val="center"/>
        <w:rPr>
          <w:rFonts w:hint="eastAsia" w:ascii="方正小标宋简体" w:eastAsia="方正小标宋简体"/>
          <w:b/>
          <w:bCs/>
          <w:sz w:val="84"/>
          <w:szCs w:val="84"/>
          <w:highlight w:val="none"/>
        </w:rPr>
      </w:pPr>
      <w:r>
        <w:rPr>
          <w:rFonts w:hint="eastAsia" w:ascii="方正小标宋简体" w:eastAsia="方正小标宋简体"/>
          <w:b/>
          <w:bCs/>
          <w:sz w:val="84"/>
          <w:szCs w:val="84"/>
          <w:highlight w:val="none"/>
        </w:rPr>
        <w:t>中共闽清县委宣传部</w:t>
      </w:r>
    </w:p>
    <w:p>
      <w:pPr>
        <w:widowControl/>
        <w:jc w:val="center"/>
        <w:rPr>
          <w:rFonts w:hint="eastAsia" w:ascii="方正小标宋简体" w:eastAsia="方正小标宋简体"/>
          <w:b/>
          <w:bCs/>
          <w:sz w:val="84"/>
          <w:szCs w:val="84"/>
          <w:highlight w:val="none"/>
        </w:rPr>
      </w:pPr>
      <w:r>
        <w:rPr>
          <w:rFonts w:hint="eastAsia" w:ascii="方正小标宋简体" w:eastAsia="方正小标宋简体"/>
          <w:b/>
          <w:bCs/>
          <w:sz w:val="84"/>
          <w:szCs w:val="84"/>
          <w:highlight w:val="none"/>
        </w:rPr>
        <w:t>（本级）</w:t>
      </w:r>
      <w:r>
        <w:rPr>
          <w:rFonts w:hint="eastAsia" w:ascii="方正小标宋简体" w:eastAsia="方正小标宋简体"/>
          <w:b/>
          <w:bCs/>
          <w:sz w:val="84"/>
          <w:szCs w:val="84"/>
          <w:highlight w:val="none"/>
          <w:lang w:val="en-US" w:eastAsia="zh-CN"/>
        </w:rPr>
        <w:t>单位</w:t>
      </w:r>
      <w:r>
        <w:rPr>
          <w:rFonts w:hint="eastAsia" w:ascii="方正小标宋简体" w:eastAsia="方正小标宋简体"/>
          <w:b/>
          <w:bCs/>
          <w:sz w:val="84"/>
          <w:szCs w:val="84"/>
          <w:highlight w:val="none"/>
        </w:rPr>
        <w:t>决算</w:t>
      </w:r>
    </w:p>
    <w:p>
      <w:pPr>
        <w:widowControl/>
        <w:jc w:val="center"/>
        <w:rPr>
          <w:rFonts w:hint="eastAsia" w:ascii="方正小标宋简体" w:eastAsia="方正小标宋简体"/>
          <w:b/>
          <w:bCs/>
          <w:sz w:val="84"/>
          <w:szCs w:val="84"/>
          <w:highlight w:val="none"/>
        </w:rPr>
      </w:pPr>
    </w:p>
    <w:p>
      <w:pPr>
        <w:widowControl/>
        <w:jc w:val="center"/>
        <w:rPr>
          <w:rFonts w:hint="eastAsia" w:ascii="方正小标宋简体" w:eastAsia="方正小标宋简体"/>
          <w:b/>
          <w:bCs/>
          <w:sz w:val="84"/>
          <w:szCs w:val="84"/>
          <w:highlight w:val="none"/>
        </w:rPr>
      </w:pPr>
    </w:p>
    <w:p>
      <w:pPr>
        <w:widowControl/>
        <w:jc w:val="center"/>
        <w:rPr>
          <w:rFonts w:hint="eastAsia" w:ascii="方正小标宋简体" w:eastAsia="方正小标宋简体"/>
          <w:b/>
          <w:bCs/>
          <w:sz w:val="84"/>
          <w:szCs w:val="84"/>
          <w:highlight w:val="none"/>
        </w:rPr>
      </w:pPr>
    </w:p>
    <w:p>
      <w:pPr>
        <w:widowControl/>
        <w:jc w:val="center"/>
        <w:rPr>
          <w:rFonts w:hint="eastAsia" w:ascii="方正小标宋简体" w:eastAsia="方正小标宋简体"/>
          <w:b/>
          <w:bCs/>
          <w:sz w:val="84"/>
          <w:szCs w:val="84"/>
          <w:highlight w:val="none"/>
          <w:lang w:val="en-US" w:eastAsia="zh-CN"/>
        </w:rPr>
        <w:sectPr>
          <w:headerReference r:id="rId3" w:type="default"/>
          <w:footerReference r:id="rId4" w:type="default"/>
          <w:pgSz w:w="11906" w:h="16838"/>
          <w:pgMar w:top="1440" w:right="1083" w:bottom="1440" w:left="1083" w:header="0" w:footer="720" w:gutter="0"/>
          <w:pgBorders>
            <w:top w:val="none" w:sz="0" w:space="0"/>
            <w:left w:val="none" w:sz="0" w:space="0"/>
            <w:bottom w:val="none" w:sz="0" w:space="0"/>
            <w:right w:val="none" w:sz="0" w:space="0"/>
          </w:pgBorders>
          <w:pgNumType w:fmt="decimal"/>
          <w:cols w:space="0" w:num="1"/>
          <w:titlePg/>
          <w:rtlGutter w:val="0"/>
          <w:docGrid w:type="lines" w:linePitch="317" w:charSpace="0"/>
        </w:sectPr>
      </w:pPr>
    </w:p>
    <w:sdt>
      <w:sdtPr>
        <w:rPr>
          <w:rFonts w:hint="eastAsia" w:ascii="仿宋" w:hAnsi="仿宋" w:eastAsia="仿宋" w:cs="仿宋"/>
          <w:b/>
          <w:bCs/>
          <w:kern w:val="0"/>
          <w:sz w:val="32"/>
          <w:szCs w:val="32"/>
          <w:lang w:val="en-US" w:eastAsia="zh-CN"/>
        </w:rPr>
        <w:id w:val="147456983"/>
        <w15:color w:val="DBDBDB"/>
      </w:sdtPr>
      <w:sdtEndPr>
        <w:rPr>
          <w:rFonts w:hint="eastAsia" w:ascii="宋体" w:hAnsi="宋体" w:eastAsia="宋体" w:cs="Times New Roman"/>
          <w:b/>
          <w:bCs/>
          <w:kern w:val="2"/>
          <w:sz w:val="32"/>
          <w:szCs w:val="32"/>
          <w:lang w:val="en-US" w:eastAsia="zh-CN" w:bidi="ar-SA"/>
        </w:rPr>
      </w:sdtEndPr>
      <w:sdtContent>
        <w:p>
          <w:pPr>
            <w:widowControl/>
            <w:spacing w:before="0" w:beforeLines="0" w:after="0" w:afterLines="0" w:line="240" w:lineRule="auto"/>
            <w:ind w:left="0" w:leftChars="0" w:right="0" w:rightChars="0" w:firstLine="0" w:firstLineChars="0"/>
            <w:jc w:val="center"/>
            <w:rPr>
              <w:rFonts w:hint="eastAsia" w:ascii="仿宋" w:hAnsi="仿宋" w:eastAsia="仿宋" w:cs="仿宋"/>
              <w:b/>
              <w:bCs/>
              <w:kern w:val="0"/>
              <w:sz w:val="32"/>
              <w:szCs w:val="32"/>
            </w:rPr>
          </w:pPr>
          <w:r>
            <w:rPr>
              <w:rFonts w:hint="eastAsia" w:ascii="仿宋" w:hAnsi="仿宋" w:eastAsia="仿宋" w:cs="仿宋"/>
              <w:b/>
              <w:bCs/>
              <w:kern w:val="0"/>
              <w:sz w:val="32"/>
              <w:szCs w:val="32"/>
            </w:rPr>
            <w:t>目</w:t>
          </w:r>
          <w:r>
            <w:rPr>
              <w:rFonts w:hint="eastAsia" w:ascii="仿宋" w:hAnsi="仿宋" w:eastAsia="仿宋" w:cs="仿宋"/>
              <w:b/>
              <w:bCs/>
              <w:kern w:val="0"/>
              <w:sz w:val="32"/>
              <w:szCs w:val="32"/>
              <w:lang w:val="en-US" w:eastAsia="zh-CN"/>
            </w:rPr>
            <w:t xml:space="preserve"> </w:t>
          </w:r>
          <w:r>
            <w:rPr>
              <w:rFonts w:hint="eastAsia" w:ascii="仿宋" w:hAnsi="仿宋" w:eastAsia="仿宋" w:cs="仿宋"/>
              <w:b/>
              <w:bCs/>
              <w:kern w:val="0"/>
              <w:sz w:val="32"/>
              <w:szCs w:val="32"/>
            </w:rPr>
            <w:t>录</w:t>
          </w:r>
        </w:p>
        <w:p>
          <w:pPr>
            <w:pStyle w:val="17"/>
            <w:tabs>
              <w:tab w:val="right" w:leader="dot" w:pos="9730"/>
            </w:tabs>
            <w:rPr>
              <w:rFonts w:asciiTheme="minorHAnsi" w:hAnsiTheme="minorHAnsi"/>
              <w:sz w:val="22"/>
            </w:rPr>
          </w:pPr>
          <w:r>
            <w:rPr>
              <w:rFonts w:hint="eastAsia" w:ascii="仿宋" w:hAnsi="仿宋" w:eastAsia="仿宋" w:cs="仿宋"/>
              <w:b w:val="0"/>
              <w:bCs/>
              <w:kern w:val="2"/>
              <w:sz w:val="32"/>
              <w:szCs w:val="32"/>
              <w:lang w:val="en-US" w:eastAsia="zh-CN" w:bidi="ar-SA"/>
            </w:rPr>
            <w:fldChar w:fldCharType="begin"/>
          </w:r>
          <w:r>
            <w:rPr>
              <w:rFonts w:hint="eastAsia" w:ascii="仿宋" w:hAnsi="仿宋" w:eastAsia="仿宋" w:cs="仿宋"/>
              <w:b w:val="0"/>
              <w:bCs/>
              <w:kern w:val="2"/>
              <w:sz w:val="32"/>
              <w:szCs w:val="32"/>
              <w:lang w:val="en-US" w:eastAsia="zh-CN" w:bidi="ar-SA"/>
            </w:rPr>
            <w:instrText xml:space="preserve">TOC \o "1-3" \h \u </w:instrText>
          </w:r>
          <w:r>
            <w:rPr>
              <w:rFonts w:hint="eastAsia" w:ascii="仿宋" w:hAnsi="仿宋" w:eastAsia="仿宋" w:cs="仿宋"/>
              <w:b w:val="0"/>
              <w:bCs/>
              <w:kern w:val="2"/>
              <w:sz w:val="32"/>
              <w:szCs w:val="32"/>
              <w:lang w:val="en-US" w:eastAsia="zh-CN" w:bidi="ar-SA"/>
            </w:rPr>
            <w:fldChar w:fldCharType="separate"/>
          </w:r>
          <w:r>
            <w:fldChar w:fldCharType="begin"/>
          </w:r>
          <w:r>
            <w:instrText xml:space="preserve"> HYPERLINK \l "_Toc256000052" </w:instrText>
          </w:r>
          <w:r>
            <w:fldChar w:fldCharType="separate"/>
          </w:r>
          <w:r>
            <w:rPr>
              <w:rStyle w:val="21"/>
              <w:rFonts w:ascii="仿宋" w:hAnsi="仿宋" w:eastAsia="仿宋" w:cs="仿宋"/>
            </w:rPr>
            <w:t>第一部分</w:t>
          </w:r>
          <w:r>
            <w:rPr>
              <w:rStyle w:val="21"/>
              <w:rFonts w:ascii="黑体" w:hAnsi="黑体" w:eastAsia="黑体" w:cs="黑体"/>
            </w:rPr>
            <w:t xml:space="preserve"> </w:t>
          </w:r>
          <w:r>
            <w:rPr>
              <w:rStyle w:val="21"/>
              <w:rFonts w:ascii="仿宋" w:hAnsi="仿宋" w:eastAsia="仿宋" w:cs="仿宋"/>
            </w:rPr>
            <w:t>单位概况</w:t>
          </w:r>
          <w:r>
            <w:tab/>
          </w:r>
          <w:r>
            <w:fldChar w:fldCharType="begin"/>
          </w:r>
          <w:r>
            <w:instrText xml:space="preserve"> PAGEREF _Toc256000052 \h </w:instrText>
          </w:r>
          <w:r>
            <w:fldChar w:fldCharType="separate"/>
          </w:r>
          <w:r>
            <w:t>1</w:t>
          </w:r>
          <w:r>
            <w:fldChar w:fldCharType="end"/>
          </w:r>
          <w:r>
            <w:fldChar w:fldCharType="end"/>
          </w:r>
        </w:p>
        <w:p>
          <w:pPr>
            <w:pStyle w:val="10"/>
            <w:tabs>
              <w:tab w:val="right" w:leader="dot" w:pos="9730"/>
            </w:tabs>
            <w:rPr>
              <w:rFonts w:asciiTheme="minorHAnsi" w:hAnsiTheme="minorHAnsi"/>
              <w:sz w:val="22"/>
            </w:rPr>
          </w:pPr>
          <w:r>
            <w:fldChar w:fldCharType="begin"/>
          </w:r>
          <w:r>
            <w:instrText xml:space="preserve"> HYPERLINK \l "_Toc256000053" </w:instrText>
          </w:r>
          <w:r>
            <w:fldChar w:fldCharType="separate"/>
          </w:r>
          <w:r>
            <w:rPr>
              <w:rStyle w:val="21"/>
              <w:rFonts w:ascii="仿宋" w:hAnsi="仿宋" w:eastAsia="仿宋" w:cs="仿宋"/>
            </w:rPr>
            <w:t>一、单位主要职责</w:t>
          </w:r>
          <w:r>
            <w:tab/>
          </w:r>
          <w:r>
            <w:fldChar w:fldCharType="begin"/>
          </w:r>
          <w:r>
            <w:instrText xml:space="preserve"> PAGEREF _Toc256000053 \h </w:instrText>
          </w:r>
          <w:r>
            <w:fldChar w:fldCharType="separate"/>
          </w:r>
          <w:r>
            <w:t>2</w:t>
          </w:r>
          <w:r>
            <w:fldChar w:fldCharType="end"/>
          </w:r>
          <w:r>
            <w:fldChar w:fldCharType="end"/>
          </w:r>
        </w:p>
        <w:p>
          <w:pPr>
            <w:pStyle w:val="10"/>
            <w:tabs>
              <w:tab w:val="right" w:leader="dot" w:pos="9730"/>
            </w:tabs>
            <w:rPr>
              <w:rFonts w:asciiTheme="minorHAnsi" w:hAnsiTheme="minorHAnsi"/>
              <w:sz w:val="22"/>
            </w:rPr>
          </w:pPr>
          <w:r>
            <w:fldChar w:fldCharType="begin"/>
          </w:r>
          <w:r>
            <w:instrText xml:space="preserve"> HYPERLINK \l "_Toc256000054" </w:instrText>
          </w:r>
          <w:r>
            <w:fldChar w:fldCharType="separate"/>
          </w:r>
          <w:r>
            <w:rPr>
              <w:rStyle w:val="21"/>
              <w:rFonts w:ascii="仿宋" w:hAnsi="仿宋" w:eastAsia="仿宋" w:cs="仿宋"/>
            </w:rPr>
            <w:t>二、单位基本情况</w:t>
          </w:r>
          <w:r>
            <w:tab/>
          </w:r>
          <w:r>
            <w:fldChar w:fldCharType="begin"/>
          </w:r>
          <w:r>
            <w:instrText xml:space="preserve"> PAGEREF _Toc256000054 \h </w:instrText>
          </w:r>
          <w:r>
            <w:fldChar w:fldCharType="separate"/>
          </w:r>
          <w:r>
            <w:t>2</w:t>
          </w:r>
          <w:r>
            <w:fldChar w:fldCharType="end"/>
          </w:r>
          <w:r>
            <w:fldChar w:fldCharType="end"/>
          </w:r>
        </w:p>
        <w:p>
          <w:pPr>
            <w:pStyle w:val="10"/>
            <w:tabs>
              <w:tab w:val="right" w:leader="dot" w:pos="9730"/>
            </w:tabs>
            <w:rPr>
              <w:rFonts w:asciiTheme="minorHAnsi" w:hAnsiTheme="minorHAnsi"/>
              <w:sz w:val="22"/>
            </w:rPr>
          </w:pPr>
          <w:r>
            <w:fldChar w:fldCharType="begin"/>
          </w:r>
          <w:r>
            <w:instrText xml:space="preserve"> HYPERLINK \l "_Toc256000055" </w:instrText>
          </w:r>
          <w:r>
            <w:fldChar w:fldCharType="separate"/>
          </w:r>
          <w:r>
            <w:rPr>
              <w:rStyle w:val="21"/>
              <w:rFonts w:ascii="仿宋" w:hAnsi="仿宋" w:eastAsia="仿宋" w:cs="仿宋"/>
            </w:rPr>
            <w:t>三、单位主要工作总结</w:t>
          </w:r>
          <w:r>
            <w:tab/>
          </w:r>
          <w:r>
            <w:fldChar w:fldCharType="begin"/>
          </w:r>
          <w:r>
            <w:instrText xml:space="preserve"> PAGEREF _Toc256000055 \h </w:instrText>
          </w:r>
          <w:r>
            <w:fldChar w:fldCharType="separate"/>
          </w:r>
          <w:r>
            <w:t>3</w:t>
          </w:r>
          <w:r>
            <w:fldChar w:fldCharType="end"/>
          </w:r>
          <w:r>
            <w:fldChar w:fldCharType="end"/>
          </w:r>
        </w:p>
        <w:p>
          <w:pPr>
            <w:pStyle w:val="17"/>
            <w:tabs>
              <w:tab w:val="right" w:leader="dot" w:pos="9730"/>
            </w:tabs>
            <w:rPr>
              <w:rFonts w:asciiTheme="minorHAnsi" w:hAnsiTheme="minorHAnsi"/>
              <w:sz w:val="22"/>
            </w:rPr>
          </w:pPr>
          <w:r>
            <w:fldChar w:fldCharType="begin"/>
          </w:r>
          <w:r>
            <w:instrText xml:space="preserve"> HYPERLINK \l "_Toc256000056" </w:instrText>
          </w:r>
          <w:r>
            <w:fldChar w:fldCharType="separate"/>
          </w:r>
          <w:r>
            <w:rPr>
              <w:rStyle w:val="21"/>
              <w:rFonts w:ascii="仿宋" w:hAnsi="仿宋" w:eastAsia="仿宋" w:cs="仿宋"/>
            </w:rPr>
            <w:t>第二部分</w:t>
          </w:r>
          <w:r>
            <w:rPr>
              <w:rStyle w:val="21"/>
              <w:rFonts w:ascii="黑体" w:hAnsi="黑体" w:eastAsia="黑体" w:cs="黑体"/>
            </w:rPr>
            <w:t xml:space="preserve"> </w:t>
          </w:r>
          <w:r>
            <w:rPr>
              <w:rStyle w:val="21"/>
              <w:rFonts w:ascii="仿宋" w:hAnsi="仿宋" w:eastAsia="仿宋" w:cs="仿宋"/>
            </w:rPr>
            <w:t>2025年度单位决算表</w:t>
          </w:r>
          <w:r>
            <w:tab/>
          </w:r>
          <w:r>
            <w:fldChar w:fldCharType="begin"/>
          </w:r>
          <w:r>
            <w:instrText xml:space="preserve"> PAGEREF _Toc256000056 \h </w:instrText>
          </w:r>
          <w:r>
            <w:fldChar w:fldCharType="separate"/>
          </w:r>
          <w:r>
            <w:t>5</w:t>
          </w:r>
          <w:r>
            <w:fldChar w:fldCharType="end"/>
          </w:r>
          <w:r>
            <w:fldChar w:fldCharType="end"/>
          </w:r>
        </w:p>
        <w:p>
          <w:pPr>
            <w:pStyle w:val="10"/>
            <w:tabs>
              <w:tab w:val="right" w:leader="dot" w:pos="9730"/>
            </w:tabs>
            <w:rPr>
              <w:rFonts w:asciiTheme="minorHAnsi" w:hAnsiTheme="minorHAnsi"/>
              <w:sz w:val="22"/>
            </w:rPr>
          </w:pPr>
          <w:r>
            <w:fldChar w:fldCharType="begin"/>
          </w:r>
          <w:r>
            <w:instrText xml:space="preserve"> HYPERLINK \l "_Toc256000057" </w:instrText>
          </w:r>
          <w:r>
            <w:fldChar w:fldCharType="separate"/>
          </w:r>
          <w:r>
            <w:rPr>
              <w:rStyle w:val="21"/>
              <w:rFonts w:ascii="仿宋" w:hAnsi="仿宋" w:eastAsia="仿宋" w:cs="仿宋"/>
            </w:rPr>
            <w:t>一、收入支出决算总表</w:t>
          </w:r>
          <w:r>
            <w:tab/>
          </w:r>
          <w:r>
            <w:fldChar w:fldCharType="begin"/>
          </w:r>
          <w:r>
            <w:instrText xml:space="preserve"> PAGEREF _Toc256000057 \h </w:instrText>
          </w:r>
          <w:r>
            <w:fldChar w:fldCharType="separate"/>
          </w:r>
          <w:r>
            <w:t>6</w:t>
          </w:r>
          <w:r>
            <w:fldChar w:fldCharType="end"/>
          </w:r>
          <w:r>
            <w:fldChar w:fldCharType="end"/>
          </w:r>
        </w:p>
        <w:p>
          <w:pPr>
            <w:pStyle w:val="10"/>
            <w:tabs>
              <w:tab w:val="right" w:leader="dot" w:pos="9730"/>
            </w:tabs>
            <w:rPr>
              <w:rFonts w:asciiTheme="minorHAnsi" w:hAnsiTheme="minorHAnsi"/>
              <w:sz w:val="22"/>
            </w:rPr>
          </w:pPr>
          <w:r>
            <w:fldChar w:fldCharType="begin"/>
          </w:r>
          <w:r>
            <w:instrText xml:space="preserve"> HYPERLINK \l "_Toc256000058" </w:instrText>
          </w:r>
          <w:r>
            <w:fldChar w:fldCharType="separate"/>
          </w:r>
          <w:r>
            <w:rPr>
              <w:rStyle w:val="21"/>
              <w:rFonts w:ascii="仿宋" w:hAnsi="仿宋" w:eastAsia="仿宋" w:cs="仿宋"/>
            </w:rPr>
            <w:t>二、收入决算表</w:t>
          </w:r>
          <w:r>
            <w:tab/>
          </w:r>
          <w:r>
            <w:fldChar w:fldCharType="begin"/>
          </w:r>
          <w:r>
            <w:instrText xml:space="preserve"> PAGEREF _Toc256000058 \h </w:instrText>
          </w:r>
          <w:r>
            <w:fldChar w:fldCharType="separate"/>
          </w:r>
          <w:r>
            <w:t>8</w:t>
          </w:r>
          <w:r>
            <w:fldChar w:fldCharType="end"/>
          </w:r>
          <w:r>
            <w:fldChar w:fldCharType="end"/>
          </w:r>
        </w:p>
        <w:p>
          <w:pPr>
            <w:pStyle w:val="10"/>
            <w:tabs>
              <w:tab w:val="right" w:leader="dot" w:pos="9730"/>
            </w:tabs>
            <w:rPr>
              <w:rFonts w:asciiTheme="minorHAnsi" w:hAnsiTheme="minorHAnsi"/>
              <w:sz w:val="22"/>
            </w:rPr>
          </w:pPr>
          <w:r>
            <w:fldChar w:fldCharType="begin"/>
          </w:r>
          <w:r>
            <w:instrText xml:space="preserve"> HYPERLINK \l "_Toc256000059" </w:instrText>
          </w:r>
          <w:r>
            <w:fldChar w:fldCharType="separate"/>
          </w:r>
          <w:r>
            <w:rPr>
              <w:rStyle w:val="21"/>
              <w:rFonts w:ascii="仿宋" w:hAnsi="仿宋" w:eastAsia="仿宋" w:cs="仿宋"/>
            </w:rPr>
            <w:t>三、支出决算表</w:t>
          </w:r>
          <w:r>
            <w:tab/>
          </w:r>
          <w:r>
            <w:fldChar w:fldCharType="begin"/>
          </w:r>
          <w:r>
            <w:instrText xml:space="preserve"> PAGEREF _Toc256000059 \h </w:instrText>
          </w:r>
          <w:r>
            <w:fldChar w:fldCharType="separate"/>
          </w:r>
          <w:r>
            <w:t>11</w:t>
          </w:r>
          <w:r>
            <w:fldChar w:fldCharType="end"/>
          </w:r>
          <w:r>
            <w:fldChar w:fldCharType="end"/>
          </w:r>
        </w:p>
        <w:p>
          <w:pPr>
            <w:pStyle w:val="10"/>
            <w:tabs>
              <w:tab w:val="right" w:leader="dot" w:pos="9730"/>
            </w:tabs>
            <w:rPr>
              <w:rFonts w:asciiTheme="minorHAnsi" w:hAnsiTheme="minorHAnsi"/>
              <w:sz w:val="22"/>
            </w:rPr>
          </w:pPr>
          <w:r>
            <w:fldChar w:fldCharType="begin"/>
          </w:r>
          <w:r>
            <w:instrText xml:space="preserve"> HYPERLINK \l "_Toc256000060" </w:instrText>
          </w:r>
          <w:r>
            <w:fldChar w:fldCharType="separate"/>
          </w:r>
          <w:r>
            <w:rPr>
              <w:rStyle w:val="21"/>
              <w:rFonts w:ascii="仿宋" w:hAnsi="仿宋" w:eastAsia="仿宋" w:cs="仿宋"/>
            </w:rPr>
            <w:t>四、财政拨款收入支出决算总表</w:t>
          </w:r>
          <w:r>
            <w:tab/>
          </w:r>
          <w:r>
            <w:fldChar w:fldCharType="begin"/>
          </w:r>
          <w:r>
            <w:instrText xml:space="preserve"> PAGEREF _Toc256000060 \h </w:instrText>
          </w:r>
          <w:r>
            <w:fldChar w:fldCharType="separate"/>
          </w:r>
          <w:r>
            <w:t>14</w:t>
          </w:r>
          <w:r>
            <w:fldChar w:fldCharType="end"/>
          </w:r>
          <w:r>
            <w:fldChar w:fldCharType="end"/>
          </w:r>
        </w:p>
        <w:p>
          <w:pPr>
            <w:pStyle w:val="10"/>
            <w:tabs>
              <w:tab w:val="right" w:leader="dot" w:pos="9730"/>
            </w:tabs>
            <w:rPr>
              <w:rFonts w:asciiTheme="minorHAnsi" w:hAnsiTheme="minorHAnsi"/>
              <w:sz w:val="22"/>
            </w:rPr>
          </w:pPr>
          <w:r>
            <w:fldChar w:fldCharType="begin"/>
          </w:r>
          <w:r>
            <w:instrText xml:space="preserve"> HYPERLINK \l "_Toc256000061" </w:instrText>
          </w:r>
          <w:r>
            <w:fldChar w:fldCharType="separate"/>
          </w:r>
          <w:r>
            <w:rPr>
              <w:rStyle w:val="21"/>
              <w:rFonts w:ascii="仿宋" w:hAnsi="仿宋" w:eastAsia="仿宋" w:cs="仿宋"/>
            </w:rPr>
            <w:t>五、一般公共预算财政拨款支出决算表</w:t>
          </w:r>
          <w:r>
            <w:tab/>
          </w:r>
          <w:r>
            <w:fldChar w:fldCharType="begin"/>
          </w:r>
          <w:r>
            <w:instrText xml:space="preserve"> PAGEREF _Toc256000061 \h </w:instrText>
          </w:r>
          <w:r>
            <w:fldChar w:fldCharType="separate"/>
          </w:r>
          <w:r>
            <w:t>17</w:t>
          </w:r>
          <w:r>
            <w:fldChar w:fldCharType="end"/>
          </w:r>
          <w:r>
            <w:fldChar w:fldCharType="end"/>
          </w:r>
        </w:p>
        <w:p>
          <w:pPr>
            <w:pStyle w:val="10"/>
            <w:tabs>
              <w:tab w:val="right" w:leader="dot" w:pos="9730"/>
            </w:tabs>
            <w:rPr>
              <w:rFonts w:asciiTheme="minorHAnsi" w:hAnsiTheme="minorHAnsi"/>
              <w:sz w:val="22"/>
            </w:rPr>
          </w:pPr>
          <w:r>
            <w:fldChar w:fldCharType="begin"/>
          </w:r>
          <w:r>
            <w:instrText xml:space="preserve"> HYPERLINK \l "_Toc256000062" </w:instrText>
          </w:r>
          <w:r>
            <w:fldChar w:fldCharType="separate"/>
          </w:r>
          <w:r>
            <w:rPr>
              <w:rStyle w:val="21"/>
              <w:rFonts w:ascii="仿宋" w:hAnsi="仿宋" w:eastAsia="仿宋" w:cs="仿宋"/>
            </w:rPr>
            <w:t>六、一般公共预算财政拨款基本支出决算表</w:t>
          </w:r>
          <w:r>
            <w:tab/>
          </w:r>
          <w:r>
            <w:fldChar w:fldCharType="begin"/>
          </w:r>
          <w:r>
            <w:instrText xml:space="preserve"> PAGEREF _Toc256000062 \h </w:instrText>
          </w:r>
          <w:r>
            <w:fldChar w:fldCharType="separate"/>
          </w:r>
          <w:r>
            <w:t>19</w:t>
          </w:r>
          <w:r>
            <w:fldChar w:fldCharType="end"/>
          </w:r>
          <w:r>
            <w:fldChar w:fldCharType="end"/>
          </w:r>
        </w:p>
        <w:p>
          <w:pPr>
            <w:pStyle w:val="10"/>
            <w:tabs>
              <w:tab w:val="right" w:leader="dot" w:pos="9730"/>
            </w:tabs>
            <w:rPr>
              <w:rFonts w:asciiTheme="minorHAnsi" w:hAnsiTheme="minorHAnsi"/>
              <w:sz w:val="22"/>
            </w:rPr>
          </w:pPr>
          <w:r>
            <w:fldChar w:fldCharType="begin"/>
          </w:r>
          <w:r>
            <w:instrText xml:space="preserve"> HYPERLINK \l "_Toc256000063" </w:instrText>
          </w:r>
          <w:r>
            <w:fldChar w:fldCharType="separate"/>
          </w:r>
          <w:r>
            <w:rPr>
              <w:rStyle w:val="21"/>
              <w:rFonts w:ascii="仿宋" w:hAnsi="仿宋" w:eastAsia="仿宋" w:cs="仿宋"/>
            </w:rPr>
            <w:t>七、一般公共预算财政拨款“三公”经费支出决算表</w:t>
          </w:r>
          <w:r>
            <w:tab/>
          </w:r>
          <w:r>
            <w:fldChar w:fldCharType="begin"/>
          </w:r>
          <w:r>
            <w:instrText xml:space="preserve"> PAGEREF _Toc256000063 \h </w:instrText>
          </w:r>
          <w:r>
            <w:fldChar w:fldCharType="separate"/>
          </w:r>
          <w:r>
            <w:t>22</w:t>
          </w:r>
          <w:r>
            <w:fldChar w:fldCharType="end"/>
          </w:r>
          <w:r>
            <w:fldChar w:fldCharType="end"/>
          </w:r>
        </w:p>
        <w:p>
          <w:pPr>
            <w:pStyle w:val="10"/>
            <w:tabs>
              <w:tab w:val="right" w:leader="dot" w:pos="9730"/>
            </w:tabs>
            <w:rPr>
              <w:rFonts w:asciiTheme="minorHAnsi" w:hAnsiTheme="minorHAnsi"/>
              <w:sz w:val="22"/>
            </w:rPr>
          </w:pPr>
          <w:r>
            <w:fldChar w:fldCharType="begin"/>
          </w:r>
          <w:r>
            <w:instrText xml:space="preserve"> HYPERLINK \l "_Toc256000064" </w:instrText>
          </w:r>
          <w:r>
            <w:fldChar w:fldCharType="separate"/>
          </w:r>
          <w:r>
            <w:rPr>
              <w:rStyle w:val="21"/>
              <w:rFonts w:ascii="仿宋" w:hAnsi="仿宋" w:eastAsia="仿宋" w:cs="仿宋"/>
            </w:rPr>
            <w:t>八、政府性基金预算财政拨款收入支出决算表</w:t>
          </w:r>
          <w:r>
            <w:tab/>
          </w:r>
          <w:r>
            <w:fldChar w:fldCharType="begin"/>
          </w:r>
          <w:r>
            <w:instrText xml:space="preserve"> PAGEREF _Toc256000064 \h </w:instrText>
          </w:r>
          <w:r>
            <w:fldChar w:fldCharType="separate"/>
          </w:r>
          <w:r>
            <w:t>23</w:t>
          </w:r>
          <w:r>
            <w:fldChar w:fldCharType="end"/>
          </w:r>
          <w:r>
            <w:fldChar w:fldCharType="end"/>
          </w:r>
        </w:p>
        <w:p>
          <w:pPr>
            <w:pStyle w:val="10"/>
            <w:tabs>
              <w:tab w:val="right" w:leader="dot" w:pos="9730"/>
            </w:tabs>
            <w:rPr>
              <w:rFonts w:asciiTheme="minorHAnsi" w:hAnsiTheme="minorHAnsi"/>
              <w:sz w:val="22"/>
            </w:rPr>
          </w:pPr>
          <w:r>
            <w:fldChar w:fldCharType="begin"/>
          </w:r>
          <w:r>
            <w:instrText xml:space="preserve"> HYPERLINK \l "_Toc256000065" </w:instrText>
          </w:r>
          <w:r>
            <w:fldChar w:fldCharType="separate"/>
          </w:r>
          <w:r>
            <w:rPr>
              <w:rStyle w:val="21"/>
              <w:rFonts w:ascii="仿宋" w:hAnsi="仿宋" w:eastAsia="仿宋" w:cs="仿宋"/>
            </w:rPr>
            <w:t>九、国有资本经营预算财政拨款支出决算表</w:t>
          </w:r>
          <w:r>
            <w:tab/>
          </w:r>
          <w:r>
            <w:fldChar w:fldCharType="begin"/>
          </w:r>
          <w:r>
            <w:instrText xml:space="preserve"> PAGEREF _Toc256000065 \h </w:instrText>
          </w:r>
          <w:r>
            <w:fldChar w:fldCharType="separate"/>
          </w:r>
          <w:r>
            <w:t>24</w:t>
          </w:r>
          <w:r>
            <w:fldChar w:fldCharType="end"/>
          </w:r>
          <w:r>
            <w:fldChar w:fldCharType="end"/>
          </w:r>
        </w:p>
        <w:p>
          <w:pPr>
            <w:pStyle w:val="17"/>
            <w:tabs>
              <w:tab w:val="right" w:leader="dot" w:pos="9730"/>
            </w:tabs>
            <w:rPr>
              <w:rFonts w:asciiTheme="minorHAnsi" w:hAnsiTheme="minorHAnsi"/>
              <w:sz w:val="22"/>
            </w:rPr>
          </w:pPr>
          <w:r>
            <w:fldChar w:fldCharType="begin"/>
          </w:r>
          <w:r>
            <w:instrText xml:space="preserve"> HYPERLINK \l "_Toc256000066" </w:instrText>
          </w:r>
          <w:r>
            <w:fldChar w:fldCharType="separate"/>
          </w:r>
          <w:r>
            <w:rPr>
              <w:rStyle w:val="21"/>
              <w:rFonts w:ascii="仿宋" w:hAnsi="仿宋" w:eastAsia="仿宋" w:cs="仿宋"/>
            </w:rPr>
            <w:t>第三部分</w:t>
          </w:r>
          <w:r>
            <w:rPr>
              <w:rStyle w:val="21"/>
              <w:rFonts w:ascii="黑体" w:hAnsi="黑体" w:eastAsia="黑体" w:cs="黑体"/>
            </w:rPr>
            <w:t xml:space="preserve"> </w:t>
          </w:r>
          <w:r>
            <w:rPr>
              <w:rStyle w:val="21"/>
              <w:rFonts w:ascii="仿宋" w:hAnsi="仿宋" w:eastAsia="仿宋" w:cs="仿宋"/>
            </w:rPr>
            <w:t>2025年度单位决算情况说明</w:t>
          </w:r>
          <w:r>
            <w:tab/>
          </w:r>
          <w:r>
            <w:fldChar w:fldCharType="begin"/>
          </w:r>
          <w:r>
            <w:instrText xml:space="preserve"> PAGEREF _Toc256000066 \h </w:instrText>
          </w:r>
          <w:r>
            <w:fldChar w:fldCharType="separate"/>
          </w:r>
          <w:r>
            <w:t>25</w:t>
          </w:r>
          <w:r>
            <w:fldChar w:fldCharType="end"/>
          </w:r>
          <w:r>
            <w:fldChar w:fldCharType="end"/>
          </w:r>
        </w:p>
        <w:p>
          <w:pPr>
            <w:pStyle w:val="10"/>
            <w:tabs>
              <w:tab w:val="right" w:leader="dot" w:pos="9730"/>
            </w:tabs>
            <w:rPr>
              <w:rFonts w:asciiTheme="minorHAnsi" w:hAnsiTheme="minorHAnsi"/>
              <w:sz w:val="22"/>
            </w:rPr>
          </w:pPr>
          <w:r>
            <w:fldChar w:fldCharType="begin"/>
          </w:r>
          <w:r>
            <w:instrText xml:space="preserve"> HYPERLINK \l "_Toc256000067" </w:instrText>
          </w:r>
          <w:r>
            <w:fldChar w:fldCharType="separate"/>
          </w:r>
          <w:r>
            <w:rPr>
              <w:rStyle w:val="21"/>
              <w:rFonts w:ascii="仿宋" w:hAnsi="仿宋" w:eastAsia="仿宋" w:cs="仿宋"/>
            </w:rPr>
            <w:t>一、收入支出决算总体情况说明</w:t>
          </w:r>
          <w:r>
            <w:tab/>
          </w:r>
          <w:r>
            <w:fldChar w:fldCharType="begin"/>
          </w:r>
          <w:r>
            <w:instrText xml:space="preserve"> PAGEREF _Toc256000067 \h </w:instrText>
          </w:r>
          <w:r>
            <w:fldChar w:fldCharType="separate"/>
          </w:r>
          <w:r>
            <w:t>26</w:t>
          </w:r>
          <w:r>
            <w:fldChar w:fldCharType="end"/>
          </w:r>
          <w:r>
            <w:fldChar w:fldCharType="end"/>
          </w:r>
        </w:p>
        <w:p>
          <w:pPr>
            <w:pStyle w:val="10"/>
            <w:tabs>
              <w:tab w:val="right" w:leader="dot" w:pos="9730"/>
            </w:tabs>
            <w:rPr>
              <w:rFonts w:asciiTheme="minorHAnsi" w:hAnsiTheme="minorHAnsi"/>
              <w:sz w:val="22"/>
            </w:rPr>
          </w:pPr>
          <w:r>
            <w:fldChar w:fldCharType="begin"/>
          </w:r>
          <w:r>
            <w:instrText xml:space="preserve"> HYPERLINK \l "_Toc256000068" </w:instrText>
          </w:r>
          <w:r>
            <w:fldChar w:fldCharType="separate"/>
          </w:r>
          <w:r>
            <w:rPr>
              <w:rStyle w:val="21"/>
              <w:rFonts w:ascii="仿宋" w:hAnsi="仿宋" w:eastAsia="仿宋" w:cs="仿宋"/>
            </w:rPr>
            <w:t>二、财政拨款收入支出决算总体情况说明</w:t>
          </w:r>
          <w:r>
            <w:tab/>
          </w:r>
          <w:r>
            <w:fldChar w:fldCharType="begin"/>
          </w:r>
          <w:r>
            <w:instrText xml:space="preserve"> PAGEREF _Toc256000068 \h </w:instrText>
          </w:r>
          <w:r>
            <w:fldChar w:fldCharType="separate"/>
          </w:r>
          <w:r>
            <w:t>27</w:t>
          </w:r>
          <w:r>
            <w:fldChar w:fldCharType="end"/>
          </w:r>
          <w:r>
            <w:fldChar w:fldCharType="end"/>
          </w:r>
        </w:p>
        <w:p>
          <w:pPr>
            <w:pStyle w:val="10"/>
            <w:tabs>
              <w:tab w:val="right" w:leader="dot" w:pos="9730"/>
            </w:tabs>
            <w:rPr>
              <w:rFonts w:asciiTheme="minorHAnsi" w:hAnsiTheme="minorHAnsi"/>
              <w:sz w:val="22"/>
            </w:rPr>
          </w:pPr>
          <w:r>
            <w:fldChar w:fldCharType="begin"/>
          </w:r>
          <w:r>
            <w:instrText xml:space="preserve"> HYPERLINK \l "_Toc256000069" </w:instrText>
          </w:r>
          <w:r>
            <w:fldChar w:fldCharType="separate"/>
          </w:r>
          <w:r>
            <w:rPr>
              <w:rStyle w:val="21"/>
              <w:rFonts w:ascii="仿宋" w:hAnsi="仿宋" w:eastAsia="仿宋" w:cs="仿宋"/>
            </w:rPr>
            <w:t>三、一般公共预算财政拨款支出决算情况说明</w:t>
          </w:r>
          <w:r>
            <w:tab/>
          </w:r>
          <w:r>
            <w:fldChar w:fldCharType="begin"/>
          </w:r>
          <w:r>
            <w:instrText xml:space="preserve"> PAGEREF _Toc256000069 \h </w:instrText>
          </w:r>
          <w:r>
            <w:fldChar w:fldCharType="separate"/>
          </w:r>
          <w:r>
            <w:t>27</w:t>
          </w:r>
          <w:r>
            <w:fldChar w:fldCharType="end"/>
          </w:r>
          <w:r>
            <w:fldChar w:fldCharType="end"/>
          </w:r>
        </w:p>
        <w:p>
          <w:pPr>
            <w:pStyle w:val="10"/>
            <w:tabs>
              <w:tab w:val="right" w:leader="dot" w:pos="9730"/>
            </w:tabs>
            <w:rPr>
              <w:rFonts w:asciiTheme="minorHAnsi" w:hAnsiTheme="minorHAnsi"/>
              <w:sz w:val="22"/>
            </w:rPr>
          </w:pPr>
          <w:r>
            <w:fldChar w:fldCharType="begin"/>
          </w:r>
          <w:r>
            <w:instrText xml:space="preserve"> HYPERLINK \l "_Toc256000070" </w:instrText>
          </w:r>
          <w:r>
            <w:fldChar w:fldCharType="separate"/>
          </w:r>
          <w:r>
            <w:rPr>
              <w:rStyle w:val="21"/>
              <w:rFonts w:ascii="仿宋" w:hAnsi="仿宋" w:eastAsia="仿宋" w:cs="仿宋"/>
            </w:rPr>
            <w:t>四、政府性基金预算财政拨款支出决算情况说明</w:t>
          </w:r>
          <w:r>
            <w:tab/>
          </w:r>
          <w:r>
            <w:fldChar w:fldCharType="begin"/>
          </w:r>
          <w:r>
            <w:instrText xml:space="preserve"> PAGEREF _Toc256000070 \h </w:instrText>
          </w:r>
          <w:r>
            <w:fldChar w:fldCharType="separate"/>
          </w:r>
          <w:r>
            <w:t>29</w:t>
          </w:r>
          <w:r>
            <w:fldChar w:fldCharType="end"/>
          </w:r>
          <w:r>
            <w:fldChar w:fldCharType="end"/>
          </w:r>
        </w:p>
        <w:p>
          <w:pPr>
            <w:pStyle w:val="10"/>
            <w:tabs>
              <w:tab w:val="right" w:leader="dot" w:pos="9730"/>
            </w:tabs>
            <w:rPr>
              <w:rFonts w:asciiTheme="minorHAnsi" w:hAnsiTheme="minorHAnsi"/>
              <w:sz w:val="22"/>
            </w:rPr>
          </w:pPr>
          <w:r>
            <w:fldChar w:fldCharType="begin"/>
          </w:r>
          <w:r>
            <w:instrText xml:space="preserve"> HYPERLINK \l "_Toc256000071" </w:instrText>
          </w:r>
          <w:r>
            <w:fldChar w:fldCharType="separate"/>
          </w:r>
          <w:r>
            <w:rPr>
              <w:rStyle w:val="21"/>
              <w:rFonts w:ascii="仿宋" w:hAnsi="仿宋" w:eastAsia="仿宋" w:cs="仿宋"/>
            </w:rPr>
            <w:t>五、国有资本经营预算财政拨款支出决算情况说明</w:t>
          </w:r>
          <w:r>
            <w:tab/>
          </w:r>
          <w:r>
            <w:fldChar w:fldCharType="begin"/>
          </w:r>
          <w:r>
            <w:instrText xml:space="preserve"> PAGEREF _Toc256000071 \h </w:instrText>
          </w:r>
          <w:r>
            <w:fldChar w:fldCharType="separate"/>
          </w:r>
          <w:r>
            <w:t>29</w:t>
          </w:r>
          <w:r>
            <w:fldChar w:fldCharType="end"/>
          </w:r>
          <w:r>
            <w:fldChar w:fldCharType="end"/>
          </w:r>
        </w:p>
        <w:p>
          <w:pPr>
            <w:pStyle w:val="10"/>
            <w:tabs>
              <w:tab w:val="right" w:leader="dot" w:pos="9730"/>
            </w:tabs>
            <w:rPr>
              <w:rFonts w:asciiTheme="minorHAnsi" w:hAnsiTheme="minorHAnsi"/>
              <w:sz w:val="22"/>
            </w:rPr>
          </w:pPr>
          <w:r>
            <w:fldChar w:fldCharType="begin"/>
          </w:r>
          <w:r>
            <w:instrText xml:space="preserve"> HYPERLINK \l "_Toc256000072" </w:instrText>
          </w:r>
          <w:r>
            <w:fldChar w:fldCharType="separate"/>
          </w:r>
          <w:r>
            <w:rPr>
              <w:rStyle w:val="21"/>
              <w:rFonts w:ascii="仿宋" w:hAnsi="仿宋" w:eastAsia="仿宋" w:cs="仿宋"/>
            </w:rPr>
            <w:t>六、一般公共预算财政拨款基本支出决算情况说明</w:t>
          </w:r>
          <w:r>
            <w:tab/>
          </w:r>
          <w:r>
            <w:fldChar w:fldCharType="begin"/>
          </w:r>
          <w:r>
            <w:instrText xml:space="preserve"> PAGEREF _Toc256000072 \h </w:instrText>
          </w:r>
          <w:r>
            <w:fldChar w:fldCharType="separate"/>
          </w:r>
          <w:r>
            <w:t>30</w:t>
          </w:r>
          <w:r>
            <w:fldChar w:fldCharType="end"/>
          </w:r>
          <w:r>
            <w:fldChar w:fldCharType="end"/>
          </w:r>
        </w:p>
        <w:p>
          <w:pPr>
            <w:pStyle w:val="10"/>
            <w:tabs>
              <w:tab w:val="right" w:leader="dot" w:pos="9730"/>
            </w:tabs>
            <w:rPr>
              <w:rFonts w:asciiTheme="minorHAnsi" w:hAnsiTheme="minorHAnsi"/>
              <w:sz w:val="22"/>
            </w:rPr>
          </w:pPr>
          <w:r>
            <w:fldChar w:fldCharType="begin"/>
          </w:r>
          <w:r>
            <w:instrText xml:space="preserve"> HYPERLINK \l "_Toc256000073" </w:instrText>
          </w:r>
          <w:r>
            <w:fldChar w:fldCharType="separate"/>
          </w:r>
          <w:r>
            <w:rPr>
              <w:rStyle w:val="21"/>
              <w:rFonts w:ascii="仿宋" w:hAnsi="仿宋" w:eastAsia="仿宋" w:cs="仿宋"/>
            </w:rPr>
            <w:t>七、一般公共预算财政拨款“三公”经费支出决算情况说明</w:t>
          </w:r>
          <w:r>
            <w:tab/>
          </w:r>
          <w:r>
            <w:fldChar w:fldCharType="begin"/>
          </w:r>
          <w:r>
            <w:instrText xml:space="preserve"> PAGEREF _Toc256000073 \h </w:instrText>
          </w:r>
          <w:r>
            <w:fldChar w:fldCharType="separate"/>
          </w:r>
          <w:r>
            <w:t>30</w:t>
          </w:r>
          <w:r>
            <w:fldChar w:fldCharType="end"/>
          </w:r>
          <w:r>
            <w:fldChar w:fldCharType="end"/>
          </w:r>
        </w:p>
        <w:p>
          <w:pPr>
            <w:pStyle w:val="10"/>
            <w:tabs>
              <w:tab w:val="right" w:leader="dot" w:pos="9730"/>
            </w:tabs>
            <w:rPr>
              <w:rFonts w:asciiTheme="minorHAnsi" w:hAnsiTheme="minorHAnsi"/>
              <w:sz w:val="22"/>
            </w:rPr>
          </w:pPr>
          <w:r>
            <w:fldChar w:fldCharType="begin"/>
          </w:r>
          <w:r>
            <w:instrText xml:space="preserve"> HYPERLINK \l "_Toc256000074" </w:instrText>
          </w:r>
          <w:r>
            <w:fldChar w:fldCharType="separate"/>
          </w:r>
          <w:r>
            <w:rPr>
              <w:rStyle w:val="21"/>
              <w:rFonts w:ascii="仿宋" w:hAnsi="仿宋" w:eastAsia="仿宋" w:cs="仿宋"/>
            </w:rPr>
            <w:t>八、预算绩效情况说明</w:t>
          </w:r>
          <w:r>
            <w:tab/>
          </w:r>
          <w:r>
            <w:fldChar w:fldCharType="begin"/>
          </w:r>
          <w:r>
            <w:instrText xml:space="preserve"> PAGEREF _Toc256000074 \h </w:instrText>
          </w:r>
          <w:r>
            <w:fldChar w:fldCharType="separate"/>
          </w:r>
          <w:r>
            <w:t>31</w:t>
          </w:r>
          <w:r>
            <w:fldChar w:fldCharType="end"/>
          </w:r>
          <w:r>
            <w:fldChar w:fldCharType="end"/>
          </w:r>
        </w:p>
        <w:p>
          <w:pPr>
            <w:pStyle w:val="10"/>
            <w:tabs>
              <w:tab w:val="right" w:leader="dot" w:pos="9730"/>
            </w:tabs>
            <w:rPr>
              <w:rFonts w:asciiTheme="minorHAnsi" w:hAnsiTheme="minorHAnsi"/>
              <w:sz w:val="22"/>
            </w:rPr>
          </w:pPr>
          <w:r>
            <w:fldChar w:fldCharType="begin"/>
          </w:r>
          <w:r>
            <w:instrText xml:space="preserve"> HYPERLINK \l "_Toc256000075" </w:instrText>
          </w:r>
          <w:r>
            <w:fldChar w:fldCharType="separate"/>
          </w:r>
          <w:r>
            <w:rPr>
              <w:rStyle w:val="21"/>
              <w:rFonts w:ascii="仿宋" w:hAnsi="仿宋" w:eastAsia="仿宋" w:cs="仿宋"/>
            </w:rPr>
            <w:t>九、其他重要事项说明</w:t>
          </w:r>
          <w:r>
            <w:tab/>
          </w:r>
          <w:r>
            <w:fldChar w:fldCharType="begin"/>
          </w:r>
          <w:r>
            <w:instrText xml:space="preserve"> PAGEREF _Toc256000075 \h </w:instrText>
          </w:r>
          <w:r>
            <w:fldChar w:fldCharType="separate"/>
          </w:r>
          <w:r>
            <w:t>31</w:t>
          </w:r>
          <w:r>
            <w:fldChar w:fldCharType="end"/>
          </w:r>
          <w:r>
            <w:fldChar w:fldCharType="end"/>
          </w:r>
        </w:p>
        <w:p>
          <w:pPr>
            <w:pStyle w:val="17"/>
            <w:tabs>
              <w:tab w:val="right" w:leader="dot" w:pos="9730"/>
            </w:tabs>
            <w:rPr>
              <w:rFonts w:asciiTheme="minorHAnsi" w:hAnsiTheme="minorHAnsi"/>
              <w:sz w:val="22"/>
            </w:rPr>
          </w:pPr>
          <w:r>
            <w:fldChar w:fldCharType="begin"/>
          </w:r>
          <w:r>
            <w:instrText xml:space="preserve"> HYPERLINK \l "_Toc256000076" </w:instrText>
          </w:r>
          <w:r>
            <w:fldChar w:fldCharType="separate"/>
          </w:r>
          <w:r>
            <w:rPr>
              <w:rStyle w:val="21"/>
              <w:rFonts w:ascii="仿宋" w:hAnsi="仿宋" w:eastAsia="仿宋" w:cs="仿宋"/>
            </w:rPr>
            <w:t>第四部分</w:t>
          </w:r>
          <w:r>
            <w:rPr>
              <w:rStyle w:val="21"/>
              <w:rFonts w:ascii="黑体" w:hAnsi="黑体" w:eastAsia="黑体" w:cs="黑体"/>
            </w:rPr>
            <w:t xml:space="preserve"> </w:t>
          </w:r>
          <w:r>
            <w:rPr>
              <w:rStyle w:val="21"/>
              <w:rFonts w:ascii="仿宋" w:hAnsi="仿宋" w:eastAsia="仿宋" w:cs="仿宋"/>
            </w:rPr>
            <w:t>名词解释</w:t>
          </w:r>
          <w:r>
            <w:tab/>
          </w:r>
          <w:r>
            <w:fldChar w:fldCharType="begin"/>
          </w:r>
          <w:r>
            <w:instrText xml:space="preserve"> PAGEREF _Toc256000076 \h </w:instrText>
          </w:r>
          <w:r>
            <w:fldChar w:fldCharType="separate"/>
          </w:r>
          <w:r>
            <w:t>33</w:t>
          </w:r>
          <w:r>
            <w:fldChar w:fldCharType="end"/>
          </w:r>
          <w:r>
            <w:fldChar w:fldCharType="end"/>
          </w:r>
        </w:p>
        <w:p>
          <w:pPr>
            <w:pStyle w:val="17"/>
            <w:tabs>
              <w:tab w:val="right" w:leader="dot" w:pos="9730"/>
            </w:tabs>
            <w:rPr>
              <w:rFonts w:asciiTheme="minorHAnsi" w:hAnsiTheme="minorHAnsi"/>
              <w:sz w:val="22"/>
            </w:rPr>
          </w:pPr>
          <w:r>
            <w:fldChar w:fldCharType="begin"/>
          </w:r>
          <w:r>
            <w:instrText xml:space="preserve"> HYPERLINK \l "_Toc256000077" </w:instrText>
          </w:r>
          <w:r>
            <w:fldChar w:fldCharType="separate"/>
          </w:r>
          <w:r>
            <w:rPr>
              <w:rStyle w:val="21"/>
              <w:rFonts w:ascii="仿宋" w:hAnsi="仿宋" w:eastAsia="仿宋" w:cs="仿宋"/>
            </w:rPr>
            <w:t>第五部分</w:t>
          </w:r>
          <w:r>
            <w:rPr>
              <w:rStyle w:val="21"/>
              <w:rFonts w:ascii="黑体" w:hAnsi="黑体" w:eastAsia="黑体" w:cs="黑体"/>
            </w:rPr>
            <w:t xml:space="preserve"> </w:t>
          </w:r>
          <w:r>
            <w:rPr>
              <w:rStyle w:val="21"/>
              <w:rFonts w:ascii="仿宋" w:hAnsi="仿宋" w:eastAsia="仿宋" w:cs="仿宋"/>
            </w:rPr>
            <w:t>附件</w:t>
          </w:r>
          <w:r>
            <w:tab/>
          </w:r>
          <w:r>
            <w:fldChar w:fldCharType="begin"/>
          </w:r>
          <w:r>
            <w:instrText xml:space="preserve"> PAGEREF _Toc256000077 \h </w:instrText>
          </w:r>
          <w:r>
            <w:fldChar w:fldCharType="separate"/>
          </w:r>
          <w:r>
            <w:t>36</w:t>
          </w:r>
          <w:r>
            <w:fldChar w:fldCharType="end"/>
          </w:r>
          <w:r>
            <w:fldChar w:fldCharType="end"/>
          </w:r>
        </w:p>
        <w:p>
          <w:pPr>
            <w:adjustRightInd w:val="0"/>
            <w:snapToGrid w:val="0"/>
            <w:rPr>
              <w:rFonts w:ascii="宋体" w:hAnsi="宋体"/>
              <w:b/>
              <w:sz w:val="32"/>
              <w:szCs w:val="32"/>
            </w:rPr>
            <w:sectPr>
              <w:footerReference r:id="rId5" w:type="default"/>
              <w:pgSz w:w="11906" w:h="16838"/>
              <w:pgMar w:top="1440" w:right="1083" w:bottom="1440" w:left="1083" w:header="0" w:footer="720" w:gutter="0"/>
              <w:pgNumType w:start="1"/>
              <w:cols w:space="0" w:num="1"/>
              <w:rtlGutter w:val="0"/>
              <w:docGrid w:type="lines" w:linePitch="317" w:charSpace="0"/>
            </w:sectPr>
          </w:pPr>
          <w:r>
            <w:rPr>
              <w:rFonts w:hint="eastAsia" w:ascii="仿宋" w:hAnsi="仿宋" w:eastAsia="仿宋" w:cs="仿宋"/>
              <w:b w:val="0"/>
              <w:bCs/>
              <w:kern w:val="2"/>
              <w:sz w:val="32"/>
              <w:szCs w:val="32"/>
              <w:lang w:val="en-US" w:eastAsia="zh-CN" w:bidi="ar-SA"/>
            </w:rPr>
            <w:fldChar w:fldCharType="end"/>
          </w:r>
        </w:p>
      </w:sdtContent>
    </w:sdt>
    <w:p>
      <w:pPr>
        <w:pStyle w:val="28"/>
        <w:widowControl/>
        <w:spacing w:before="100" w:after="100"/>
        <w:ind w:left="100" w:right="100" w:firstLine="640"/>
        <w:jc w:val="center"/>
        <w:rPr>
          <w:rFonts w:ascii="Times New Roman" w:hAnsi="Times New Roman" w:eastAsia="Times New Roman" w:cs="Times New Roman"/>
          <w:kern w:val="0"/>
          <w:sz w:val="24"/>
        </w:rPr>
      </w:pPr>
      <w:bookmarkStart w:id="0" w:name="a000"/>
      <w:r>
        <w:rPr>
          <w:rFonts w:ascii="Calibri" w:hAnsi="Calibri" w:eastAsia="Calibri" w:cs="Calibri"/>
          <w:spacing w:val="0"/>
          <w:kern w:val="0"/>
          <w:sz w:val="84"/>
          <w:szCs w:val="84"/>
        </w:rPr>
        <w:t>  </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1" w:name="_Toc256000052"/>
      <w:r>
        <w:rPr>
          <w:rFonts w:ascii="黑体" w:hAnsi="黑体" w:eastAsia="黑体" w:cs="黑体"/>
          <w:b w:val="0"/>
          <w:bCs w:val="0"/>
          <w:spacing w:val="0"/>
          <w:sz w:val="56"/>
          <w:szCs w:val="56"/>
        </w:rPr>
        <w:t>第一部分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单位概况</w:t>
      </w:r>
      <w:bookmarkEnd w:id="1"/>
    </w:p>
    <w:p>
      <w:pPr>
        <w:pStyle w:val="29"/>
        <w:widowControl/>
        <w:spacing w:before="100" w:after="100" w:line="560" w:lineRule="atLeast"/>
        <w:ind w:left="100" w:right="100" w:firstLine="640"/>
        <w:jc w:val="center"/>
        <w:rPr>
          <w:rFonts w:ascii="Times New Roman" w:hAnsi="Times New Roman" w:eastAsia="Times New Roman" w:cs="Times New Roman"/>
          <w:kern w:val="0"/>
          <w:sz w:val="24"/>
        </w:rPr>
      </w:pPr>
    </w:p>
    <w:p>
      <w:pPr>
        <w:sectPr>
          <w:footerReference r:id="rId6" w:type="default"/>
          <w:pgSz w:w="11906" w:h="16838"/>
          <w:pgMar w:top="1440" w:right="720" w:bottom="1440" w:left="720" w:header="720" w:footer="720" w:gutter="0"/>
          <w:pgNumType w:start="1"/>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pPr>
        <w:widowControl/>
        <w:spacing w:before="240" w:after="240"/>
        <w:jc w:val="left"/>
        <w:rPr>
          <w:rFonts w:ascii="Times New Roman" w:hAnsi="Times New Roman" w:eastAsia="Times New Roman" w:cs="Times New Roman"/>
          <w:kern w:val="0"/>
          <w:sz w:val="24"/>
        </w:rPr>
      </w:pPr>
    </w:p>
    <w:p>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 w:name="_Toc256000053"/>
      <w:r>
        <w:rPr>
          <w:rFonts w:ascii="黑体" w:hAnsi="黑体" w:eastAsia="黑体" w:cs="黑体"/>
          <w:b w:val="0"/>
          <w:bCs w:val="0"/>
          <w:spacing w:val="0"/>
        </w:rPr>
        <w:t>一、单位主要职责</w:t>
      </w:r>
      <w:bookmarkEnd w:id="2"/>
    </w:p>
    <w:p>
      <w:pPr>
        <w:pStyle w:val="28"/>
        <w:widowControl/>
        <w:spacing w:before="100" w:after="100" w:line="560" w:lineRule="atLeast"/>
        <w:ind w:left="100" w:right="100" w:firstLine="640"/>
        <w:jc w:val="left"/>
        <w:rPr>
          <w:rFonts w:ascii="FangSong_GB2312" w:hAnsi="FangSong_GB2312" w:eastAsia="FangSong_GB2312" w:cs="FangSong_GB2312"/>
          <w:spacing w:val="0"/>
          <w:kern w:val="0"/>
          <w:sz w:val="32"/>
          <w:szCs w:val="32"/>
        </w:rPr>
      </w:pPr>
      <w:r>
        <w:rPr>
          <w:rFonts w:ascii="FangSong_GB2312" w:hAnsi="FangSong_GB2312" w:eastAsia="FangSong_GB2312" w:cs="FangSong_GB2312"/>
          <w:spacing w:val="0"/>
          <w:kern w:val="0"/>
          <w:sz w:val="32"/>
          <w:szCs w:val="32"/>
        </w:rPr>
        <w:t>中共闽清县委宣传部（本级）单位的主要职责是：</w:t>
      </w:r>
    </w:p>
    <w:p>
      <w:pPr>
        <w:keepNext w:val="0"/>
        <w:keepLines w:val="0"/>
        <w:widowControl w:val="0"/>
        <w:suppressLineNumbers w:val="0"/>
        <w:autoSpaceDE w:val="0"/>
        <w:autoSpaceDN/>
        <w:adjustRightInd w:val="0"/>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（一）贯彻执行党的宣传思想文化工作方针、政策，拟订全县宣传思想文化工作规划，统筹协调推进全县宣传思想文化领域重大工作，协调宣传思想文化系统各部门之间的工作。</w:t>
      </w:r>
      <w:r>
        <w:rPr>
          <w:rFonts w:hint="default" w:ascii="仿宋_GB2312" w:hAnsi="仿宋_GB2312" w:eastAsia="仿宋_GB2312" w:cs="仿宋_GB2312"/>
          <w:b w:val="0"/>
          <w:bCs w:val="0"/>
          <w:kern w:val="2"/>
          <w:sz w:val="32"/>
          <w:szCs w:val="32"/>
          <w:lang w:val="en-US" w:eastAsia="zh-CN" w:bidi="ar-SA"/>
        </w:rPr>
        <w:t xml:space="preserve"> </w:t>
      </w:r>
    </w:p>
    <w:p>
      <w:pPr>
        <w:keepNext w:val="0"/>
        <w:keepLines w:val="0"/>
        <w:widowControl w:val="0"/>
        <w:suppressLineNumbers w:val="0"/>
        <w:autoSpaceDE w:val="0"/>
        <w:autoSpaceDN/>
        <w:adjustRightInd w:val="0"/>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（二）统筹协调党的意识形态工作，统筹指导协调全县理论研究、理论学习、理论宣传工作。负责组织我县全局性思想政治工作，配合做好党员教育工作。</w:t>
      </w:r>
    </w:p>
    <w:p>
      <w:pPr>
        <w:keepNext w:val="0"/>
        <w:keepLines w:val="0"/>
        <w:widowControl w:val="0"/>
        <w:suppressLineNumbers w:val="0"/>
        <w:autoSpaceDE w:val="0"/>
        <w:autoSpaceDN/>
        <w:adjustRightInd w:val="0"/>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（三）统筹分析研判和引导社会舆论，组织全县突发公共事件应急新闻工作。贯彻执行国家、省、市有关新闻出版业的方针政策和法律法规；负责管理全县新闻出版行政事务，组织协调有关行政审批工作。</w:t>
      </w:r>
    </w:p>
    <w:p>
      <w:pPr>
        <w:keepNext w:val="0"/>
        <w:keepLines w:val="0"/>
        <w:widowControl w:val="0"/>
        <w:suppressLineNumbers w:val="0"/>
        <w:autoSpaceDE w:val="0"/>
        <w:autoSpaceDN/>
        <w:adjustRightInd w:val="0"/>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（四）统筹指导协调全县互联网宣传和信息内容管理工作以及数字新媒体的建设与管理工作。从宏观上统筹指导协调推动精神文化产品的创作和生产，研究和规划我县文化艺术发展工作。</w:t>
      </w:r>
    </w:p>
    <w:p>
      <w:pPr>
        <w:keepNext w:val="0"/>
        <w:keepLines w:val="0"/>
        <w:widowControl w:val="0"/>
        <w:suppressLineNumbers w:val="0"/>
        <w:autoSpaceDE w:val="0"/>
        <w:autoSpaceDN/>
        <w:adjustRightInd w:val="0"/>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（五）负责管理电影行政事务和组织实施相关政策，推动电影事业、产业发展，指导监管电影制片、发行、放映工作。统筹指导协调全县文化体制改革和文化事业、文化产业及旅游业发展。</w:t>
      </w:r>
    </w:p>
    <w:p>
      <w:pPr>
        <w:keepNext w:val="0"/>
        <w:keepLines w:val="0"/>
        <w:widowControl w:val="0"/>
        <w:suppressLineNumbers w:val="0"/>
        <w:autoSpaceDE w:val="0"/>
        <w:autoSpaceDN/>
        <w:adjustRightInd w:val="0"/>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（六）统筹协调对外宣传工作，统筹协调组织开展新闻发布工作。</w:t>
      </w:r>
    </w:p>
    <w:p>
      <w:pPr>
        <w:keepNext w:val="0"/>
        <w:keepLines w:val="0"/>
        <w:widowControl w:val="0"/>
        <w:suppressLineNumbers w:val="0"/>
        <w:autoSpaceDE w:val="0"/>
        <w:autoSpaceDN/>
        <w:adjustRightInd w:val="0"/>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（七）贯彻执行中央和省、市关于网络安全和信息化工作的方针、政策，承担县委网络安全和信息化委员会办公室日常工作。</w:t>
      </w:r>
    </w:p>
    <w:p>
      <w:pPr>
        <w:pStyle w:val="28"/>
        <w:widowControl/>
        <w:spacing w:before="100" w:after="100" w:line="560" w:lineRule="atLeast"/>
        <w:ind w:left="100" w:right="100" w:firstLine="640"/>
        <w:jc w:val="left"/>
        <w:rPr>
          <w:rFonts w:ascii="FangSong_GB2312" w:hAnsi="FangSong_GB2312" w:eastAsia="FangSong_GB2312" w:cs="FangSong_GB2312"/>
          <w:spacing w:val="0"/>
          <w:kern w:val="0"/>
          <w:sz w:val="32"/>
          <w:szCs w:val="32"/>
        </w:rPr>
      </w:pPr>
    </w:p>
    <w:p>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3" w:name="_Toc256000054"/>
      <w:r>
        <w:rPr>
          <w:rFonts w:ascii="黑体" w:hAnsi="黑体" w:eastAsia="黑体" w:cs="黑体"/>
          <w:b w:val="0"/>
          <w:bCs w:val="0"/>
          <w:spacing w:val="0"/>
        </w:rPr>
        <w:t>二、单位基本情况</w:t>
      </w:r>
      <w:bookmarkEnd w:id="3"/>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从决算单位构成看，本单位包括</w:t>
      </w:r>
      <w:r>
        <w:rPr>
          <w:rFonts w:hint="eastAsia" w:ascii="仿宋" w:hAnsi="仿宋" w:eastAsia="仿宋" w:cs="仿宋"/>
          <w:spacing w:val="0"/>
          <w:kern w:val="0"/>
          <w:sz w:val="32"/>
          <w:szCs w:val="32"/>
          <w:lang w:val="en-US" w:eastAsia="zh-CN"/>
        </w:rPr>
        <w:t>6</w:t>
      </w:r>
      <w:r>
        <w:rPr>
          <w:rFonts w:ascii="仿宋" w:hAnsi="仿宋" w:eastAsia="仿宋" w:cs="仿宋"/>
          <w:spacing w:val="0"/>
          <w:kern w:val="0"/>
          <w:sz w:val="32"/>
          <w:szCs w:val="32"/>
        </w:rPr>
        <w:t>个机关行政</w:t>
      </w:r>
      <w:r>
        <w:rPr>
          <w:rFonts w:hint="eastAsia" w:ascii="仿宋" w:hAnsi="仿宋" w:eastAsia="仿宋" w:cs="仿宋"/>
          <w:spacing w:val="0"/>
          <w:kern w:val="0"/>
          <w:sz w:val="32"/>
          <w:szCs w:val="32"/>
          <w:lang w:eastAsia="zh-CN"/>
        </w:rPr>
        <w:t>科</w:t>
      </w:r>
      <w:r>
        <w:rPr>
          <w:rFonts w:ascii="仿宋" w:hAnsi="仿宋" w:eastAsia="仿宋" w:cs="仿宋"/>
          <w:spacing w:val="0"/>
          <w:kern w:val="0"/>
          <w:sz w:val="32"/>
          <w:szCs w:val="32"/>
        </w:rPr>
        <w:t>室</w:t>
      </w:r>
      <w:r>
        <w:rPr>
          <w:rFonts w:ascii="FangSong_GB2312" w:hAnsi="FangSong_GB2312" w:eastAsia="FangSong_GB2312" w:cs="FangSong_GB2312"/>
          <w:spacing w:val="0"/>
          <w:kern w:val="0"/>
          <w:sz w:val="32"/>
          <w:szCs w:val="32"/>
        </w:rPr>
        <w:t>，其中：列入2025年决算编制范围的单位详细情况见下表:</w:t>
      </w:r>
    </w:p>
    <w:tbl>
      <w:tblPr>
        <w:tblStyle w:val="22"/>
        <w:tblW w:w="10510" w:type="dxa"/>
        <w:tblInd w:w="13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1558"/>
        <w:gridCol w:w="8952"/>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Ex>
        <w:trPr>
          <w:cantSplit/>
          <w:tblHeader/>
        </w:trPr>
        <w:tc>
          <w:tcPr>
            <w:tcW w:w="1558" w:type="dxa"/>
            <w:tcBorders>
              <w:top w:val="outset" w:color="808080" w:sz="6" w:space="0"/>
              <w:left w:val="outset" w:color="808080" w:sz="6" w:space="0"/>
              <w:bottom w:val="outset" w:color="808080" w:sz="6" w:space="0"/>
              <w:right w:val="outset" w:color="808080" w:sz="6" w:space="0"/>
            </w:tcBorders>
            <w:tcMar>
              <w:top w:w="15" w:type="dxa"/>
              <w:left w:w="22" w:type="dxa"/>
              <w:bottom w:w="15" w:type="dxa"/>
              <w:right w:w="22" w:type="dxa"/>
            </w:tcMar>
            <w:vAlign w:val="center"/>
          </w:tcPr>
          <w:p>
            <w:pPr>
              <w:widowControl/>
              <w:ind w:firstLine="0"/>
              <w:jc w:val="center"/>
              <w:rPr>
                <w:rFonts w:ascii="宋体" w:hAnsi="宋体" w:eastAsia="宋体" w:cs="宋体"/>
                <w:b/>
                <w:bCs/>
                <w:i w:val="0"/>
                <w:iCs w:val="0"/>
                <w:smallCaps w:val="0"/>
                <w:color w:val="000000"/>
                <w:spacing w:val="0"/>
                <w:kern w:val="0"/>
                <w:sz w:val="24"/>
              </w:rPr>
            </w:pPr>
            <w:r>
              <w:rPr>
                <w:rFonts w:ascii="宋体" w:hAnsi="宋体" w:eastAsia="宋体" w:cs="宋体"/>
                <w:b/>
                <w:bCs/>
                <w:i w:val="0"/>
                <w:iCs w:val="0"/>
                <w:smallCaps w:val="0"/>
                <w:color w:val="000000"/>
                <w:spacing w:val="0"/>
                <w:kern w:val="0"/>
                <w:sz w:val="21"/>
              </w:rPr>
              <w:t>序号</w:t>
            </w:r>
          </w:p>
        </w:tc>
        <w:tc>
          <w:tcPr>
            <w:tcW w:w="8952" w:type="dxa"/>
            <w:tcBorders>
              <w:top w:val="outset" w:color="808080" w:sz="6" w:space="0"/>
              <w:left w:val="outset" w:color="808080" w:sz="6" w:space="0"/>
              <w:bottom w:val="outset" w:color="808080" w:sz="6" w:space="0"/>
              <w:right w:val="outset" w:color="808080" w:sz="6" w:space="0"/>
            </w:tcBorders>
            <w:tcMar>
              <w:top w:w="15" w:type="dxa"/>
              <w:left w:w="22" w:type="dxa"/>
              <w:bottom w:w="15" w:type="dxa"/>
              <w:right w:w="22" w:type="dxa"/>
            </w:tcMar>
            <w:vAlign w:val="center"/>
          </w:tcPr>
          <w:p>
            <w:pPr>
              <w:widowControl/>
              <w:ind w:firstLine="0"/>
              <w:jc w:val="center"/>
              <w:rPr>
                <w:rFonts w:ascii="宋体" w:hAnsi="宋体" w:eastAsia="宋体" w:cs="宋体"/>
                <w:b/>
                <w:bCs/>
                <w:i w:val="0"/>
                <w:iCs w:val="0"/>
                <w:smallCaps w:val="0"/>
                <w:color w:val="000000"/>
                <w:spacing w:val="0"/>
                <w:kern w:val="0"/>
                <w:sz w:val="24"/>
              </w:rPr>
            </w:pPr>
            <w:r>
              <w:rPr>
                <w:rFonts w:ascii="宋体" w:hAnsi="宋体" w:eastAsia="宋体" w:cs="宋体"/>
                <w:b/>
                <w:bCs/>
                <w:i w:val="0"/>
                <w:iCs w:val="0"/>
                <w:smallCaps w:val="0"/>
                <w:color w:val="000000"/>
                <w:spacing w:val="0"/>
                <w:kern w:val="0"/>
                <w:sz w:val="21"/>
              </w:rPr>
              <w:t>单位名称</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Ex>
        <w:trPr>
          <w:cantSplit/>
        </w:trPr>
        <w:tc>
          <w:tcPr>
            <w:tcW w:w="1558" w:type="dxa"/>
            <w:tcBorders>
              <w:top w:val="outset" w:color="808080" w:sz="6" w:space="0"/>
              <w:left w:val="outset" w:color="808080" w:sz="6" w:space="0"/>
              <w:bottom w:val="outset" w:color="808080" w:sz="6" w:space="0"/>
              <w:right w:val="outset" w:color="808080" w:sz="6" w:space="0"/>
            </w:tcBorders>
            <w:tcMar>
              <w:top w:w="15" w:type="dxa"/>
              <w:left w:w="22" w:type="dxa"/>
              <w:bottom w:w="15" w:type="dxa"/>
              <w:right w:w="22" w:type="dxa"/>
            </w:tcMar>
            <w:vAlign w:val="center"/>
          </w:tcPr>
          <w:p>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1</w:t>
            </w:r>
          </w:p>
        </w:tc>
        <w:tc>
          <w:tcPr>
            <w:tcW w:w="8952" w:type="dxa"/>
            <w:tcBorders>
              <w:top w:val="outset" w:color="808080" w:sz="6" w:space="0"/>
              <w:left w:val="outset" w:color="808080" w:sz="6" w:space="0"/>
              <w:bottom w:val="outset" w:color="808080" w:sz="6" w:space="0"/>
              <w:right w:val="outset" w:color="808080" w:sz="6" w:space="0"/>
            </w:tcBorders>
            <w:tcMar>
              <w:top w:w="15" w:type="dxa"/>
              <w:left w:w="22" w:type="dxa"/>
              <w:bottom w:w="15" w:type="dxa"/>
              <w:right w:w="22" w:type="dxa"/>
            </w:tcMar>
            <w:vAlign w:val="center"/>
          </w:tcPr>
          <w:p>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中共闽清县委宣传部（本级）</w:t>
            </w:r>
          </w:p>
        </w:tc>
      </w:tr>
    </w:tbl>
    <w:p>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4" w:name="_Toc256000055"/>
      <w:r>
        <w:rPr>
          <w:rFonts w:ascii="黑体" w:hAnsi="黑体" w:eastAsia="黑体" w:cs="黑体"/>
          <w:b w:val="0"/>
          <w:bCs w:val="0"/>
          <w:spacing w:val="0"/>
        </w:rPr>
        <w:t>三、单位主要工作总结</w:t>
      </w:r>
      <w:bookmarkEnd w:id="4"/>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2025年，中共闽清县委宣传部（本级）单位主要任务是：围绕上述任务，重点完成了以下工作：</w:t>
      </w:r>
    </w:p>
    <w:p>
      <w:pPr>
        <w:keepNext w:val="0"/>
        <w:keepLines w:val="0"/>
        <w:widowControl w:val="0"/>
        <w:suppressLineNumbers w:val="0"/>
        <w:autoSpaceDE w:val="0"/>
        <w:autoSpaceDN/>
        <w:adjustRightInd w:val="0"/>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2025年，闽清县意识形态工作始终坚持以习近平新时代中国特色社会主义思想为指导，深入贯彻落实党的二十大和二十届历次全会精神，以强有力的思想引领、主流舆论、文化供给、价值导向和机制保障，为县域经济社会高质量发展提供了坚强的思想保证、强大的精神力量和有利的文化条件。</w:t>
      </w:r>
    </w:p>
    <w:p>
      <w:pPr>
        <w:keepNext w:val="0"/>
        <w:keepLines w:val="0"/>
        <w:widowControl w:val="0"/>
        <w:suppressLineNumbers w:val="0"/>
        <w:autoSpaceDE w:val="0"/>
        <w:autoSpaceDN/>
        <w:adjustRightInd w:val="0"/>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强化理论武装体系，打造意识形态工作坚强思想堡垒。围绕学习党的二十届四中全会精神等主题开展集中学习18次、专题研讨6次，示范带动各党委（党组）开展理论学习中心组学习590余场、研讨200余场。通过线上线下联动学、分级分层研讨学等形式开展学习3360场，全县形成同频共振的理论学习热潮。深入开展全面建设学习型社会活动，建成学习阅读服务点16个，党员干部结合自身岗位和阅读感悟畅谈心得体会，开展全民阅读活动100余场。深化社科研究普及，举办闽都文化名家讲、社科普及宣传周等活动23场。</w:t>
      </w:r>
    </w:p>
    <w:p>
      <w:pPr>
        <w:keepNext w:val="0"/>
        <w:keepLines w:val="0"/>
        <w:widowControl w:val="0"/>
        <w:suppressLineNumbers w:val="0"/>
        <w:autoSpaceDE w:val="0"/>
        <w:autoSpaceDN/>
        <w:adjustRightInd w:val="0"/>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构建宣传联动格局，凝聚意识形态领域激昂奋进力量。2025年县属媒体平台发布作品8153篇（条）。中央及省、市主流媒体刊（播）发闽清稿件1865篇（条），同比增长11.6％，借力流量效应，与12个自媒体账号开展民生政策、节庆活动宣传常态化合作，发布正面信息7000余条，浏览量达920万次，“贴近群众、服务民生”宣传成效显著提升。</w:t>
      </w:r>
    </w:p>
    <w:p>
      <w:pPr>
        <w:keepNext w:val="0"/>
        <w:keepLines w:val="0"/>
        <w:widowControl w:val="0"/>
        <w:suppressLineNumbers w:val="0"/>
        <w:autoSpaceDE w:val="0"/>
        <w:autoSpaceDN/>
        <w:adjustRightInd w:val="0"/>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提升文化服务效能，增进主流意识形态情感认同共鸣。实施公共文化服务提质增效行动，打造惠及全民公益文化品牌，开展“百姓大舞台”系列文艺演出和惠民活动110场，举办“故事妈妈”亲子绘本阅读、舞蹈等公益课堂类活动124场，受众达10万人次；2025年完成农村公益电影放映3276场，观众达30万人次。</w:t>
      </w:r>
    </w:p>
    <w:p>
      <w:pPr>
        <w:keepNext w:val="0"/>
        <w:keepLines w:val="0"/>
        <w:widowControl w:val="0"/>
        <w:suppressLineNumbers w:val="0"/>
        <w:autoSpaceDE w:val="0"/>
        <w:autoSpaceDN/>
        <w:adjustRightInd w:val="0"/>
        <w:spacing w:before="0" w:beforeAutospacing="0" w:after="0" w:afterAutospacing="0" w:line="600" w:lineRule="exact"/>
        <w:ind w:left="0" w:right="0" w:firstLine="640" w:firstLineChars="200"/>
        <w:jc w:val="both"/>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培育社会文明风尚，强化意识形态工作价值引领功能。一是文明培育筑牢道德根基。开展选树学习活动30场，100余条典型人物事迹在全县展播。开展移风易俗“五进”宣传活动100余场，实现292个村（社区）“红白理事会”全覆盖。二是文明创建激发内生动力。构建以县城为中心的城乡精神文明建设融合发展“一心四带”，打造诚信示范街线2条、生态文明公路线1条、榜样公交线1条、红色研学线路2条，全县2家单位、7个乡村、1所学校入围新一届全国文明单位（村、校园）提名名单。三是文明实践融入城市肌理。以文明新风为牵引，开展“我们的节日”系列节庆活动450余场，开展政策宣讲、便民服务活动98场。</w:t>
      </w:r>
    </w:p>
    <w:p>
      <w:pPr>
        <w:pStyle w:val="29"/>
        <w:widowControl/>
        <w:spacing w:before="100" w:after="100"/>
        <w:ind w:left="100" w:right="100" w:firstLine="640"/>
        <w:jc w:val="left"/>
        <w:rPr>
          <w:rFonts w:ascii="Times New Roman" w:hAnsi="Times New Roman" w:eastAsia="Times New Roman" w:cs="Times New Roman"/>
          <w:kern w:val="0"/>
          <w:sz w:val="24"/>
        </w:rPr>
      </w:pPr>
    </w:p>
    <w:p>
      <w:pPr>
        <w:pStyle w:val="29"/>
        <w:widowControl/>
        <w:spacing w:before="100" w:after="100"/>
        <w:ind w:left="100" w:right="100" w:firstLine="640"/>
        <w:jc w:val="left"/>
        <w:rPr>
          <w:rFonts w:ascii="Times New Roman" w:hAnsi="Times New Roman" w:eastAsia="Times New Roman" w:cs="Times New Roman"/>
          <w:kern w:val="0"/>
          <w:sz w:val="24"/>
        </w:rPr>
      </w:pPr>
    </w:p>
    <w:p>
      <w:pPr>
        <w:pStyle w:val="29"/>
        <w:widowControl/>
        <w:spacing w:before="100" w:after="100"/>
        <w:ind w:left="100" w:right="100" w:firstLine="640"/>
        <w:jc w:val="left"/>
        <w:rPr>
          <w:rFonts w:ascii="Times New Roman" w:hAnsi="Times New Roman" w:eastAsia="Times New Roman" w:cs="Times New Roman"/>
          <w:kern w:val="0"/>
          <w:sz w:val="24"/>
        </w:rPr>
      </w:pPr>
    </w:p>
    <w:p>
      <w:pPr>
        <w:pStyle w:val="29"/>
        <w:widowControl/>
        <w:spacing w:before="100" w:after="100"/>
        <w:ind w:left="100" w:right="100" w:firstLine="640"/>
        <w:jc w:val="left"/>
        <w:rPr>
          <w:rFonts w:ascii="Times New Roman" w:hAnsi="Times New Roman" w:eastAsia="Times New Roman" w:cs="Times New Roman"/>
          <w:kern w:val="0"/>
          <w:sz w:val="24"/>
        </w:rPr>
      </w:pPr>
    </w:p>
    <w:p>
      <w:pPr>
        <w:pStyle w:val="29"/>
        <w:widowControl/>
        <w:spacing w:before="100" w:after="100"/>
        <w:ind w:left="100" w:right="100" w:firstLine="640"/>
        <w:jc w:val="left"/>
        <w:rPr>
          <w:rFonts w:ascii="Times New Roman" w:hAnsi="Times New Roman" w:eastAsia="Times New Roman" w:cs="Times New Roman"/>
          <w:kern w:val="0"/>
          <w:sz w:val="24"/>
        </w:rPr>
      </w:pPr>
    </w:p>
    <w:p>
      <w:pPr>
        <w:pStyle w:val="29"/>
        <w:widowControl/>
        <w:spacing w:before="100" w:after="100"/>
        <w:ind w:left="100" w:right="100" w:firstLine="640"/>
        <w:jc w:val="left"/>
        <w:rPr>
          <w:rFonts w:ascii="Times New Roman" w:hAnsi="Times New Roman" w:eastAsia="Times New Roman" w:cs="Times New Roman"/>
          <w:kern w:val="0"/>
          <w:sz w:val="24"/>
        </w:rPr>
      </w:pPr>
    </w:p>
    <w:p>
      <w:pPr>
        <w:pStyle w:val="29"/>
        <w:widowControl/>
        <w:spacing w:before="100" w:after="100"/>
        <w:ind w:left="100" w:right="100" w:firstLine="640"/>
        <w:jc w:val="left"/>
        <w:rPr>
          <w:rFonts w:ascii="Times New Roman" w:hAnsi="Times New Roman" w:eastAsia="Times New Roman" w:cs="Times New Roman"/>
          <w:kern w:val="0"/>
          <w:sz w:val="24"/>
        </w:rPr>
      </w:pPr>
    </w:p>
    <w:p>
      <w:pPr>
        <w:pStyle w:val="29"/>
        <w:widowControl/>
        <w:spacing w:before="100" w:after="100"/>
        <w:ind w:left="100" w:right="100" w:firstLine="640"/>
        <w:jc w:val="left"/>
        <w:rPr>
          <w:rFonts w:ascii="Times New Roman" w:hAnsi="Times New Roman" w:eastAsia="Times New Roman" w:cs="Times New Roman"/>
          <w:kern w:val="0"/>
          <w:sz w:val="24"/>
        </w:rPr>
      </w:pPr>
    </w:p>
    <w:p>
      <w:pPr>
        <w:pStyle w:val="29"/>
        <w:widowControl/>
        <w:spacing w:before="100" w:after="100"/>
        <w:ind w:left="100" w:right="100" w:firstLine="640"/>
        <w:jc w:val="left"/>
        <w:rPr>
          <w:rFonts w:ascii="Times New Roman" w:hAnsi="Times New Roman" w:eastAsia="Times New Roman" w:cs="Times New Roman"/>
          <w:kern w:val="0"/>
          <w:sz w:val="24"/>
        </w:rPr>
      </w:pPr>
    </w:p>
    <w:p>
      <w:pPr>
        <w:pStyle w:val="29"/>
        <w:widowControl/>
        <w:spacing w:before="100" w:after="100"/>
        <w:ind w:left="100" w:right="100" w:firstLine="640"/>
        <w:jc w:val="left"/>
        <w:rPr>
          <w:rFonts w:ascii="Times New Roman" w:hAnsi="Times New Roman" w:eastAsia="Times New Roman" w:cs="Times New Roman"/>
          <w:kern w:val="0"/>
          <w:sz w:val="24"/>
        </w:rPr>
      </w:pPr>
    </w:p>
    <w:p>
      <w:pPr>
        <w:pStyle w:val="29"/>
        <w:widowControl/>
        <w:spacing w:before="100" w:after="100"/>
        <w:ind w:left="100" w:right="100" w:firstLine="640"/>
        <w:jc w:val="left"/>
        <w:rPr>
          <w:rFonts w:ascii="Times New Roman" w:hAnsi="Times New Roman" w:eastAsia="Times New Roman" w:cs="Times New Roman"/>
          <w:kern w:val="0"/>
          <w:sz w:val="24"/>
        </w:rPr>
      </w:pPr>
    </w:p>
    <w:p>
      <w:pPr>
        <w:pStyle w:val="29"/>
        <w:widowControl/>
        <w:spacing w:before="100" w:after="100"/>
        <w:ind w:left="100" w:right="100" w:firstLine="640"/>
        <w:jc w:val="left"/>
        <w:rPr>
          <w:rFonts w:ascii="Times New Roman" w:hAnsi="Times New Roman" w:eastAsia="Times New Roman" w:cs="Times New Roman"/>
          <w:kern w:val="0"/>
          <w:sz w:val="24"/>
        </w:rPr>
      </w:pPr>
    </w:p>
    <w:p>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5" w:name="_Toc256000056"/>
      <w:r>
        <w:rPr>
          <w:rFonts w:ascii="黑体" w:hAnsi="黑体" w:eastAsia="黑体" w:cs="黑体"/>
          <w:b w:val="0"/>
          <w:bCs w:val="0"/>
          <w:spacing w:val="0"/>
          <w:sz w:val="56"/>
          <w:szCs w:val="56"/>
        </w:rPr>
        <w:t>第二部分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2025年度单位决算表</w:t>
      </w:r>
      <w:bookmarkEnd w:id="5"/>
    </w:p>
    <w:p>
      <w:pPr>
        <w:pStyle w:val="29"/>
        <w:widowControl/>
        <w:spacing w:before="100" w:after="100"/>
        <w:ind w:left="100" w:right="100" w:firstLine="640"/>
        <w:jc w:val="center"/>
        <w:rPr>
          <w:rFonts w:ascii="Times New Roman" w:hAnsi="Times New Roman" w:eastAsia="Times New Roman" w:cs="Times New Roman"/>
          <w:kern w:val="0"/>
          <w:sz w:val="24"/>
        </w:rPr>
      </w:pPr>
    </w:p>
    <w:p>
      <w:pPr>
        <w:sectPr>
          <w:footerReference r:id="rId7" w:type="default"/>
          <w:pgSz w:w="11906" w:h="16838"/>
          <w:pgMar w:top="1440" w:right="720" w:bottom="1440" w:left="720" w:header="720" w:footer="720" w:gutter="0"/>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pPr>
        <w:widowControl/>
        <w:spacing w:before="240" w:after="240"/>
        <w:jc w:val="left"/>
        <w:rPr>
          <w:rFonts w:ascii="Times New Roman" w:hAnsi="Times New Roman" w:eastAsia="Times New Roman" w:cs="Times New Roman"/>
          <w:kern w:val="0"/>
          <w:sz w:val="24"/>
        </w:rPr>
      </w:pPr>
    </w:p>
    <w:p>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6" w:name="_Toc256000057"/>
      <w:r>
        <w:rPr>
          <w:rFonts w:ascii="黑体" w:hAnsi="黑体" w:eastAsia="黑体" w:cs="黑体"/>
          <w:b w:val="0"/>
          <w:bCs w:val="0"/>
          <w:spacing w:val="0"/>
        </w:rPr>
        <w:t>一、收入支出决算总表</w:t>
      </w:r>
      <w:bookmarkEnd w:id="6"/>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2"/>
        <w:tblW w:w="15159" w:type="dxa"/>
        <w:tblInd w:w="20" w:type="dxa"/>
        <w:tblLayout w:type="fixed"/>
        <w:tblCellMar>
          <w:top w:w="0" w:type="dxa"/>
          <w:left w:w="108" w:type="dxa"/>
          <w:bottom w:w="0" w:type="dxa"/>
          <w:right w:w="108" w:type="dxa"/>
        </w:tblCellMar>
      </w:tblPr>
      <w:tblGrid>
        <w:gridCol w:w="3789"/>
        <w:gridCol w:w="3790"/>
        <w:gridCol w:w="3790"/>
        <w:gridCol w:w="3790"/>
      </w:tblGrid>
      <w:tr>
        <w:tblPrEx>
          <w:tblLayout w:type="fixed"/>
          <w:tblCellMar>
            <w:top w:w="0" w:type="dxa"/>
            <w:left w:w="108" w:type="dxa"/>
            <w:bottom w:w="0" w:type="dxa"/>
            <w:right w:w="108" w:type="dxa"/>
          </w:tblCellMar>
        </w:tblPrEx>
        <w:trPr>
          <w:cantSplit/>
          <w:tblHeader/>
        </w:trPr>
        <w:tc>
          <w:tcPr>
            <w:tcW w:w="15159" w:type="dxa"/>
            <w:gridSpan w:val="4"/>
            <w:tcMar>
              <w:top w:w="15" w:type="dxa"/>
              <w:left w:w="108" w:type="dxa"/>
              <w:bottom w:w="15" w:type="dxa"/>
              <w:right w:w="108" w:type="dxa"/>
            </w:tcMar>
            <w:vAlign w:val="center"/>
          </w:tcPr>
          <w:p>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收入支出决算总表</w:t>
            </w:r>
          </w:p>
        </w:tc>
      </w:tr>
      <w:tr>
        <w:tblPrEx>
          <w:tblLayout w:type="fixed"/>
          <w:tblCellMar>
            <w:top w:w="0" w:type="dxa"/>
            <w:left w:w="108" w:type="dxa"/>
            <w:bottom w:w="0" w:type="dxa"/>
            <w:right w:w="108" w:type="dxa"/>
          </w:tblCellMar>
        </w:tblPrEx>
        <w:trPr>
          <w:cantSplit/>
          <w:tblHeader/>
        </w:trPr>
        <w:tc>
          <w:tcPr>
            <w:tcW w:w="7579" w:type="dxa"/>
            <w:gridSpan w:val="2"/>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790"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790" w:type="dxa"/>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公开01表</w:t>
            </w:r>
          </w:p>
        </w:tc>
      </w:tr>
      <w:tr>
        <w:tblPrEx>
          <w:tblLayout w:type="fixed"/>
          <w:tblCellMar>
            <w:top w:w="0" w:type="dxa"/>
            <w:left w:w="108" w:type="dxa"/>
            <w:bottom w:w="0" w:type="dxa"/>
            <w:right w:w="108" w:type="dxa"/>
          </w:tblCellMar>
        </w:tblPrEx>
        <w:trPr>
          <w:cantSplit/>
          <w:tblHeader/>
        </w:trPr>
        <w:tc>
          <w:tcPr>
            <w:tcW w:w="11369" w:type="dxa"/>
            <w:gridSpan w:val="3"/>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编制单位：中共闽清县委宣传部（本级）</w:t>
            </w:r>
          </w:p>
        </w:tc>
        <w:tc>
          <w:tcPr>
            <w:tcW w:w="3790" w:type="dxa"/>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tblPrEx>
          <w:tblLayout w:type="fixed"/>
          <w:tblCellMar>
            <w:top w:w="0" w:type="dxa"/>
            <w:left w:w="108" w:type="dxa"/>
            <w:bottom w:w="0" w:type="dxa"/>
            <w:right w:w="108" w:type="dxa"/>
          </w:tblCellMar>
        </w:tblPrEx>
        <w:trPr>
          <w:cantSplit/>
          <w:tblHeader/>
        </w:trPr>
        <w:tc>
          <w:tcPr>
            <w:tcW w:w="7579"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收入</w:t>
            </w:r>
          </w:p>
        </w:tc>
        <w:tc>
          <w:tcPr>
            <w:tcW w:w="7580"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w:t>
            </w:r>
          </w:p>
        </w:tc>
      </w:tr>
      <w:tr>
        <w:tblPrEx>
          <w:tblLayout w:type="fixed"/>
          <w:tblCellMar>
            <w:top w:w="0" w:type="dxa"/>
            <w:left w:w="108" w:type="dxa"/>
            <w:bottom w:w="0" w:type="dxa"/>
            <w:right w:w="108" w:type="dxa"/>
          </w:tblCellMar>
        </w:tblPrEx>
        <w:trPr>
          <w:cantSplit/>
          <w:tblHeader/>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项目(按支出功能分类)</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一、一般公共预算财政拨款收入</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1,182.07</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一、一般公共服务支出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922.52</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二、政府性基金预算财政拨款收入</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二、外交支出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三、国有资本经营预算财政拨款收入</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三、国防支出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四、上级补助收入</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四、公共安全支出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五、事业收入</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五、教育支出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六、经营收入</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六、科学技术支出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七、附属单位上缴收入</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七、文化旅游体育与传媒支出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148.48</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八、其他收入</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八、社会保障和就业支出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87.39</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九、卫生健康支出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20.14</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十、节能环保支出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十一、城乡社区支出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十二、农林水支出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十三、交通运输支出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十四、资源勘探工业信息等支出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十五、商业服务业等支出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十六、金融支出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十七、援助其他地区支出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十八、自然资源海洋气象等支出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十九、住房保障支出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33.54</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二十、粮油物资储备支出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二十一、国有资本经营预算支出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二十二、灾害防治及应急管理支出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二十三、其他支出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4.16</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二十四、债务还本支出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二十五、债务付息支出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二十六、抗疫特别国债安排的支出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1,213.31</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1,217.47</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使用非财政拨款结余（含专用结余）</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结余分配</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年初结转和结余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4.16</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年末结转和结余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总计</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1,217.47</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总计</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1,217.47</w:t>
            </w:r>
          </w:p>
        </w:tc>
      </w:tr>
      <w:tr>
        <w:tblPrEx>
          <w:tblLayout w:type="fixed"/>
          <w:tblCellMar>
            <w:top w:w="0" w:type="dxa"/>
            <w:left w:w="108" w:type="dxa"/>
            <w:bottom w:w="0" w:type="dxa"/>
            <w:right w:w="108" w:type="dxa"/>
          </w:tblCellMar>
        </w:tblPrEx>
        <w:trPr>
          <w:cantSplit/>
        </w:trPr>
        <w:tc>
          <w:tcPr>
            <w:tcW w:w="15159" w:type="dxa"/>
            <w:gridSpan w:val="4"/>
            <w:tcMar>
              <w:top w:w="15" w:type="dxa"/>
              <w:left w:w="108" w:type="dxa"/>
              <w:bottom w:w="15" w:type="dxa"/>
              <w:right w:w="108" w:type="dxa"/>
            </w:tcMar>
            <w:vAlign w:val="center"/>
          </w:tcPr>
          <w:p>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注：1.本表反映单位本年度的总收支和年末结转结余情况。</w:t>
            </w:r>
          </w:p>
        </w:tc>
      </w:tr>
      <w:tr>
        <w:tblPrEx>
          <w:tblLayout w:type="fixed"/>
          <w:tblCellMar>
            <w:top w:w="0" w:type="dxa"/>
            <w:left w:w="108" w:type="dxa"/>
            <w:bottom w:w="0" w:type="dxa"/>
            <w:right w:w="108" w:type="dxa"/>
          </w:tblCellMar>
        </w:tblPrEx>
        <w:trPr>
          <w:cantSplit/>
        </w:trPr>
        <w:tc>
          <w:tcPr>
            <w:tcW w:w="15159" w:type="dxa"/>
            <w:gridSpan w:val="4"/>
            <w:tcMar>
              <w:top w:w="15" w:type="dxa"/>
              <w:left w:w="108" w:type="dxa"/>
              <w:bottom w:w="15" w:type="dxa"/>
              <w:right w:w="108" w:type="dxa"/>
            </w:tcMar>
            <w:vAlign w:val="center"/>
          </w:tcPr>
          <w:p>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2.本套报表金额单位转换时可能存在尾数误差。</w:t>
            </w:r>
          </w:p>
        </w:tc>
      </w:tr>
    </w:tbl>
    <w:p>
      <w:pPr>
        <w:sectPr>
          <w:footerReference r:id="rId8" w:type="default"/>
          <w:pgSz w:w="16383" w:h="11906" w:orient="landscape"/>
          <w:pgMar w:top="1134" w:right="720" w:bottom="1134" w:left="720" w:header="720" w:footer="720" w:gutter="0"/>
          <w:cols w:space="720" w:num="1"/>
        </w:sectPr>
      </w:pPr>
    </w:p>
    <w:p>
      <w:pPr>
        <w:pStyle w:val="29"/>
        <w:widowControl/>
        <w:spacing w:before="240" w:after="100"/>
        <w:ind w:left="100" w:right="100" w:firstLine="0"/>
        <w:jc w:val="left"/>
        <w:rPr>
          <w:rFonts w:ascii="Times New Roman" w:hAnsi="Times New Roman" w:eastAsia="Times New Roman" w:cs="Times New Roman"/>
          <w:kern w:val="0"/>
          <w:sz w:val="24"/>
        </w:rPr>
      </w:pPr>
      <w:r>
        <w:rPr>
          <w:rFonts w:ascii="宋体" w:hAnsi="宋体" w:eastAsia="宋体" w:cs="宋体"/>
          <w:spacing w:val="0"/>
          <w:kern w:val="0"/>
          <w:sz w:val="32"/>
          <w:szCs w:val="32"/>
        </w:rPr>
        <w:t> </w:t>
      </w:r>
    </w:p>
    <w:p>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7" w:name="_Toc256000058"/>
      <w:r>
        <w:rPr>
          <w:rFonts w:ascii="黑体" w:hAnsi="黑体" w:eastAsia="黑体" w:cs="黑体"/>
          <w:b w:val="0"/>
          <w:bCs w:val="0"/>
          <w:spacing w:val="0"/>
        </w:rPr>
        <w:t>二、收入决算表</w:t>
      </w:r>
      <w:bookmarkEnd w:id="7"/>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gk02</w:t>
      </w:r>
    </w:p>
    <w:tbl>
      <w:tblPr>
        <w:tblStyle w:val="22"/>
        <w:tblW w:w="15159" w:type="dxa"/>
        <w:tblInd w:w="20" w:type="dxa"/>
        <w:tblLayout w:type="fixed"/>
        <w:tblCellMar>
          <w:top w:w="0" w:type="dxa"/>
          <w:left w:w="108" w:type="dxa"/>
          <w:bottom w:w="0" w:type="dxa"/>
          <w:right w:w="108" w:type="dxa"/>
        </w:tblCellMar>
      </w:tblPr>
      <w:tblGrid>
        <w:gridCol w:w="579"/>
        <w:gridCol w:w="578"/>
        <w:gridCol w:w="578"/>
        <w:gridCol w:w="1678"/>
        <w:gridCol w:w="1678"/>
        <w:gridCol w:w="1678"/>
        <w:gridCol w:w="1678"/>
        <w:gridCol w:w="1678"/>
        <w:gridCol w:w="1678"/>
        <w:gridCol w:w="1678"/>
        <w:gridCol w:w="1678"/>
      </w:tblGrid>
      <w:tr>
        <w:tblPrEx>
          <w:tblLayout w:type="fixed"/>
          <w:tblCellMar>
            <w:top w:w="0" w:type="dxa"/>
            <w:left w:w="108" w:type="dxa"/>
            <w:bottom w:w="0" w:type="dxa"/>
            <w:right w:w="108" w:type="dxa"/>
          </w:tblCellMar>
        </w:tblPrEx>
        <w:trPr>
          <w:cantSplit/>
          <w:tblHeader/>
        </w:trPr>
        <w:tc>
          <w:tcPr>
            <w:tcW w:w="15159" w:type="dxa"/>
            <w:gridSpan w:val="11"/>
            <w:tcMar>
              <w:top w:w="15" w:type="dxa"/>
              <w:left w:w="108" w:type="dxa"/>
              <w:bottom w:w="15" w:type="dxa"/>
              <w:right w:w="108" w:type="dxa"/>
            </w:tcMar>
            <w:vAlign w:val="center"/>
          </w:tcPr>
          <w:p>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收入决算表</w:t>
            </w:r>
          </w:p>
        </w:tc>
      </w:tr>
      <w:tr>
        <w:tblPrEx>
          <w:tblLayout w:type="fixed"/>
          <w:tblCellMar>
            <w:top w:w="0" w:type="dxa"/>
            <w:left w:w="108" w:type="dxa"/>
            <w:bottom w:w="0" w:type="dxa"/>
            <w:right w:w="108" w:type="dxa"/>
          </w:tblCellMar>
        </w:tblPrEx>
        <w:trPr>
          <w:cantSplit/>
          <w:tblHeader/>
        </w:trPr>
        <w:tc>
          <w:tcPr>
            <w:tcW w:w="1157" w:type="dxa"/>
            <w:gridSpan w:val="2"/>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78"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公开02表</w:t>
            </w:r>
          </w:p>
        </w:tc>
      </w:tr>
      <w:tr>
        <w:tblPrEx>
          <w:tblLayout w:type="fixed"/>
          <w:tblCellMar>
            <w:top w:w="0" w:type="dxa"/>
            <w:left w:w="108" w:type="dxa"/>
            <w:bottom w:w="0" w:type="dxa"/>
            <w:right w:w="108" w:type="dxa"/>
          </w:tblCellMar>
        </w:tblPrEx>
        <w:trPr>
          <w:cantSplit/>
          <w:tblHeader/>
        </w:trPr>
        <w:tc>
          <w:tcPr>
            <w:tcW w:w="8447" w:type="dxa"/>
            <w:gridSpan w:val="7"/>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编制单位：中共闽清县委宣传部（本级）</w:t>
            </w:r>
          </w:p>
        </w:tc>
        <w:tc>
          <w:tcPr>
            <w:tcW w:w="1678"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tblPrEx>
          <w:tblLayout w:type="fixed"/>
          <w:tblCellMar>
            <w:top w:w="0" w:type="dxa"/>
            <w:left w:w="108" w:type="dxa"/>
            <w:bottom w:w="0" w:type="dxa"/>
            <w:right w:w="108" w:type="dxa"/>
          </w:tblCellMar>
        </w:tblPrEx>
        <w:trPr>
          <w:cantSplit/>
          <w:tblHeader/>
        </w:trPr>
        <w:tc>
          <w:tcPr>
            <w:tcW w:w="3413" w:type="dxa"/>
            <w:gridSpan w:val="4"/>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1678"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1678"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财政拨款收入 </w:t>
            </w:r>
          </w:p>
        </w:tc>
        <w:tc>
          <w:tcPr>
            <w:tcW w:w="1678"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上级补助收入</w:t>
            </w:r>
          </w:p>
        </w:tc>
        <w:tc>
          <w:tcPr>
            <w:tcW w:w="1678"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事业收入</w:t>
            </w:r>
          </w:p>
        </w:tc>
        <w:tc>
          <w:tcPr>
            <w:tcW w:w="1678"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经营收入</w:t>
            </w:r>
          </w:p>
        </w:tc>
        <w:tc>
          <w:tcPr>
            <w:tcW w:w="1678"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附属单位上缴收入</w:t>
            </w:r>
          </w:p>
        </w:tc>
        <w:tc>
          <w:tcPr>
            <w:tcW w:w="1678"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其他收入</w:t>
            </w:r>
          </w:p>
        </w:tc>
      </w:tr>
      <w:tr>
        <w:tblPrEx>
          <w:tblLayout w:type="fixed"/>
          <w:tblCellMar>
            <w:top w:w="0" w:type="dxa"/>
            <w:left w:w="108" w:type="dxa"/>
            <w:bottom w:w="0" w:type="dxa"/>
            <w:right w:w="108" w:type="dxa"/>
          </w:tblCellMar>
        </w:tblPrEx>
        <w:trPr>
          <w:cantSplit/>
          <w:tblHeader/>
        </w:trPr>
        <w:tc>
          <w:tcPr>
            <w:tcW w:w="1735" w:type="dxa"/>
            <w:gridSpan w:val="3"/>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1678"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678" w:type="dxa"/>
            <w:vMerge w:val="continue"/>
            <w:tcBorders>
              <w:left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Layout w:type="fixed"/>
          <w:tblCellMar>
            <w:top w:w="0" w:type="dxa"/>
            <w:left w:w="108" w:type="dxa"/>
            <w:bottom w:w="0" w:type="dxa"/>
            <w:right w:w="108" w:type="dxa"/>
          </w:tblCellMar>
        </w:tblPrEx>
        <w:trPr>
          <w:cantSplit/>
          <w:tblHeader/>
        </w:trPr>
        <w:tc>
          <w:tcPr>
            <w:tcW w:w="1735"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Layout w:type="fixed"/>
          <w:tblCellMar>
            <w:top w:w="0" w:type="dxa"/>
            <w:left w:w="108" w:type="dxa"/>
            <w:bottom w:w="0" w:type="dxa"/>
            <w:right w:w="108" w:type="dxa"/>
          </w:tblCellMar>
        </w:tblPrEx>
        <w:trPr>
          <w:cantSplit/>
          <w:tblHeader/>
        </w:trPr>
        <w:tc>
          <w:tcPr>
            <w:tcW w:w="57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5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5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1,213.31</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1,213.31</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一般公共服务支出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922.52</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922.52</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20133</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宣传事务</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922.52</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922.52</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2013301</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268.35</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268.35</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2013350</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事业运行</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36.28</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36.28</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2013399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其他宣传事务支出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617.89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617.89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文化旅游体育与传媒支出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148.48</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148.48</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20706</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新闻出版电影</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47.04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47.04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2070607</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电影</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47.04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47.04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20707</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国家电影事业发展专项资金安排的支出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2070799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其他国家电影事业发展专项资金支出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20799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其他文化旅游体育与传媒支出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70.21</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70.21</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2079999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其他文化旅游体育与传媒支出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70.21</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70.21</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社会保障和就业支出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87.39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87.39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行政事业单位养老支出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82.39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82.39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2080501</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行政单位离退休</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32.24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32.24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2080505</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机关事业单位基本养老保险缴费支出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33.45</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33.45</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2080506</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机关事业单位职业年金缴费支出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16.70</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16.70</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2089999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卫生健康支出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行政事业单位医疗</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2101101</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行政单位医疗</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10.39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10.39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2101102</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事业单位医疗</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1.38</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1.38</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2101103</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公务员医疗补助</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8.37</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8.37</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农林水支出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巩固脱贫攻坚成果衔接乡村振兴</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2130599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其他巩固脱贫攻坚成果衔接乡村振兴支出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住房保障支出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33.54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33.54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住房改革支出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33.54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33.54</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2210201</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住房公积金</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28.27</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28.27</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2210202</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提租补贴</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5.27</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5.27</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5159" w:type="dxa"/>
            <w:gridSpan w:val="11"/>
            <w:tcMar>
              <w:top w:w="15" w:type="dxa"/>
              <w:left w:w="108" w:type="dxa"/>
              <w:bottom w:w="15" w:type="dxa"/>
              <w:right w:w="108" w:type="dxa"/>
            </w:tcMar>
            <w:vAlign w:val="center"/>
          </w:tcPr>
          <w:p>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注：本表反映单位本年度取得的各项收入情况。</w:t>
            </w:r>
          </w:p>
        </w:tc>
      </w:tr>
    </w:tbl>
    <w:p>
      <w:pPr>
        <w:sectPr>
          <w:footerReference r:id="rId9" w:type="default"/>
          <w:pgSz w:w="16383" w:h="11906" w:orient="landscape"/>
          <w:pgMar w:top="1134" w:right="720" w:bottom="1134" w:left="720" w:header="720" w:footer="720" w:gutter="0"/>
          <w:cols w:space="720" w:num="1"/>
        </w:sectPr>
      </w:pPr>
    </w:p>
    <w:p>
      <w:pPr>
        <w:pStyle w:val="29"/>
        <w:widowControl/>
        <w:spacing w:before="240" w:after="100"/>
        <w:ind w:left="100" w:right="100" w:firstLine="0"/>
        <w:jc w:val="left"/>
        <w:rPr>
          <w:rFonts w:ascii="Times New Roman" w:hAnsi="Times New Roman" w:eastAsia="Times New Roman" w:cs="Times New Roman"/>
          <w:kern w:val="0"/>
          <w:sz w:val="24"/>
        </w:rPr>
      </w:pPr>
      <w:r>
        <w:rPr>
          <w:rFonts w:ascii="宋体" w:hAnsi="宋体" w:eastAsia="宋体" w:cs="宋体"/>
          <w:spacing w:val="0"/>
          <w:kern w:val="0"/>
          <w:sz w:val="32"/>
          <w:szCs w:val="32"/>
        </w:rPr>
        <w:t> </w:t>
      </w:r>
    </w:p>
    <w:p>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8" w:name="_Toc256000059"/>
      <w:r>
        <w:rPr>
          <w:rFonts w:ascii="黑体" w:hAnsi="黑体" w:eastAsia="黑体" w:cs="黑体"/>
          <w:b w:val="0"/>
          <w:bCs w:val="0"/>
          <w:spacing w:val="0"/>
        </w:rPr>
        <w:t>三、支出决算表</w:t>
      </w:r>
      <w:bookmarkEnd w:id="8"/>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gk03</w:t>
      </w:r>
    </w:p>
    <w:tbl>
      <w:tblPr>
        <w:tblStyle w:val="22"/>
        <w:tblW w:w="15159" w:type="dxa"/>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tblPrEx>
          <w:tblLayout w:type="fixed"/>
          <w:tblCellMar>
            <w:top w:w="0" w:type="dxa"/>
            <w:left w:w="108" w:type="dxa"/>
            <w:bottom w:w="0" w:type="dxa"/>
            <w:right w:w="108" w:type="dxa"/>
          </w:tblCellMar>
        </w:tblPrEx>
        <w:trPr>
          <w:cantSplit/>
          <w:tblHeader/>
        </w:trPr>
        <w:tc>
          <w:tcPr>
            <w:tcW w:w="15159" w:type="dxa"/>
            <w:gridSpan w:val="10"/>
            <w:tcMar>
              <w:top w:w="15" w:type="dxa"/>
              <w:left w:w="108" w:type="dxa"/>
              <w:bottom w:w="15" w:type="dxa"/>
              <w:right w:w="108" w:type="dxa"/>
            </w:tcMar>
            <w:vAlign w:val="center"/>
          </w:tcPr>
          <w:p>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支出决算表</w:t>
            </w:r>
          </w:p>
        </w:tc>
      </w:tr>
      <w:tr>
        <w:tblPrEx>
          <w:tblLayout w:type="fixed"/>
          <w:tblCellMar>
            <w:top w:w="0" w:type="dxa"/>
            <w:left w:w="108" w:type="dxa"/>
            <w:bottom w:w="0" w:type="dxa"/>
            <w:right w:w="108" w:type="dxa"/>
          </w:tblCellMar>
        </w:tblPrEx>
        <w:trPr>
          <w:cantSplit/>
          <w:tblHeader/>
        </w:trPr>
        <w:tc>
          <w:tcPr>
            <w:tcW w:w="3783" w:type="dxa"/>
            <w:gridSpan w:val="4"/>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792" w:type="dxa"/>
            <w:gridSpan w:val="2"/>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公开03表</w:t>
            </w:r>
          </w:p>
        </w:tc>
      </w:tr>
      <w:tr>
        <w:tblPrEx>
          <w:tblLayout w:type="fixed"/>
          <w:tblCellMar>
            <w:top w:w="0" w:type="dxa"/>
            <w:left w:w="108" w:type="dxa"/>
            <w:bottom w:w="0" w:type="dxa"/>
            <w:right w:w="108" w:type="dxa"/>
          </w:tblCellMar>
        </w:tblPrEx>
        <w:trPr>
          <w:cantSplit/>
          <w:tblHeader/>
        </w:trPr>
        <w:tc>
          <w:tcPr>
            <w:tcW w:w="9471" w:type="dxa"/>
            <w:gridSpan w:val="7"/>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编制单位：中共闽清县委宣传部（本级）</w:t>
            </w:r>
          </w:p>
        </w:tc>
        <w:tc>
          <w:tcPr>
            <w:tcW w:w="1896"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792" w:type="dxa"/>
            <w:gridSpan w:val="2"/>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tblPrEx>
          <w:tblLayout w:type="fixed"/>
          <w:tblCellMar>
            <w:top w:w="0" w:type="dxa"/>
            <w:left w:w="108" w:type="dxa"/>
            <w:bottom w:w="0" w:type="dxa"/>
            <w:right w:w="108" w:type="dxa"/>
          </w:tblCellMar>
        </w:tblPrEx>
        <w:trPr>
          <w:cantSplit/>
          <w:tblHeader/>
        </w:trPr>
        <w:tc>
          <w:tcPr>
            <w:tcW w:w="3783" w:type="dxa"/>
            <w:gridSpan w:val="4"/>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上缴上级支出</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经营支出</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对附属单位补助支出</w:t>
            </w:r>
          </w:p>
        </w:tc>
      </w:tr>
      <w:tr>
        <w:tblPrEx>
          <w:tblLayout w:type="fixed"/>
          <w:tblCellMar>
            <w:top w:w="0" w:type="dxa"/>
            <w:left w:w="108" w:type="dxa"/>
            <w:bottom w:w="0" w:type="dxa"/>
            <w:right w:w="108" w:type="dxa"/>
          </w:tblCellMar>
        </w:tblPrEx>
        <w:trPr>
          <w:cantSplit/>
          <w:tblHeader/>
        </w:trPr>
        <w:tc>
          <w:tcPr>
            <w:tcW w:w="1887" w:type="dxa"/>
            <w:gridSpan w:val="3"/>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896" w:type="dxa"/>
            <w:vMerge w:val="continue"/>
            <w:tcBorders>
              <w:left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Layout w:type="fixed"/>
          <w:tblCellMar>
            <w:top w:w="0" w:type="dxa"/>
            <w:left w:w="108" w:type="dxa"/>
            <w:bottom w:w="0" w:type="dxa"/>
            <w:right w:w="108" w:type="dxa"/>
          </w:tblCellMar>
        </w:tblPrEx>
        <w:trPr>
          <w:cantSplit/>
          <w:tblHeader/>
        </w:trPr>
        <w:tc>
          <w:tcPr>
            <w:tcW w:w="1887"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Layout w:type="fixed"/>
          <w:tblCellMar>
            <w:top w:w="0" w:type="dxa"/>
            <w:left w:w="108" w:type="dxa"/>
            <w:bottom w:w="0" w:type="dxa"/>
            <w:right w:w="108" w:type="dxa"/>
          </w:tblCellMar>
        </w:tblPrEx>
        <w:trPr>
          <w:cantSplit/>
          <w:tblHeader/>
        </w:trPr>
        <w:tc>
          <w:tcPr>
            <w:tcW w:w="62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62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62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1,217.47</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476.55</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740.92</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一般公共服务支出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922.52</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334.25</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588.28</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20133</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宣传事务</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922.52</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334.25</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588.28</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2013301</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268.35</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268.35</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2013350</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事业运行</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36.28</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36.28</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2013399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其他宣传事务支出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617.89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29.61</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588.28</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文化旅游体育与传媒支出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148.48</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148.48</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20706</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新闻出版电影</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47.04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47.04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2070607</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电影</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47.04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47.04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20707</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国家电影事业发展专项资金安排的支出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2070799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其他国家电影事业发展专项资金支出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20799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其他文化旅游体育与传媒支出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70.21</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70.21</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2079999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其他文化旅游体育与传媒支出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70.21</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70.21</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社会保障和就业支出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87.39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87.39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行政事业单位养老支出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82.39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82.39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2080501</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行政单位离退休</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2080505</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机关事业单位基本养老保险缴费支出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33.45</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33.45</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2080506</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机关事业单位职业年金缴费支出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16.70</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16.70</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2089999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卫生健康支出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行政事业单位医疗</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2101101</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行政单位医疗</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10.39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10.39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2101102</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事业单位医疗</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1.38</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1.38</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2101103</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公务员医疗补助</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8.37</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8.37</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农林水支出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巩固脱贫攻坚成果衔接乡村振兴</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2130599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其他巩固脱贫攻坚成果衔接乡村振兴支出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住房保障支出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33.54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33.54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住房改革支出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33.54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33.54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2210201</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住房公积金</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28.27</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28.27</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2210202</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提租补贴</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5.27</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5.27</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4.16</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4.16</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22999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4.16</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4.16</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2299999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4.16</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4.16</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5159" w:type="dxa"/>
            <w:gridSpan w:val="10"/>
            <w:tcMar>
              <w:top w:w="15" w:type="dxa"/>
              <w:left w:w="108" w:type="dxa"/>
              <w:bottom w:w="15" w:type="dxa"/>
              <w:right w:w="108" w:type="dxa"/>
            </w:tcMar>
            <w:vAlign w:val="center"/>
          </w:tcPr>
          <w:p>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注：本表反映单位本年度各项支出情况。</w:t>
            </w:r>
          </w:p>
        </w:tc>
      </w:tr>
    </w:tbl>
    <w:p>
      <w:pPr>
        <w:sectPr>
          <w:footerReference r:id="rId10" w:type="default"/>
          <w:pgSz w:w="16383" w:h="11906" w:orient="landscape"/>
          <w:pgMar w:top="1134" w:right="720" w:bottom="1134" w:left="720" w:header="720" w:footer="720" w:gutter="0"/>
          <w:cols w:space="720" w:num="1"/>
        </w:sectPr>
      </w:pPr>
    </w:p>
    <w:p>
      <w:pPr>
        <w:pStyle w:val="29"/>
        <w:widowControl/>
        <w:spacing w:before="240" w:after="100"/>
        <w:ind w:left="100" w:right="100" w:firstLine="0"/>
        <w:jc w:val="left"/>
        <w:rPr>
          <w:rFonts w:ascii="Times New Roman" w:hAnsi="Times New Roman" w:eastAsia="Times New Roman" w:cs="Times New Roman"/>
          <w:kern w:val="0"/>
          <w:sz w:val="24"/>
        </w:rPr>
      </w:pPr>
      <w:r>
        <w:rPr>
          <w:rFonts w:ascii="Times New Roman" w:hAnsi="Times New Roman" w:eastAsia="Times New Roman" w:cs="Times New Roman"/>
          <w:spacing w:val="0"/>
          <w:kern w:val="0"/>
          <w:sz w:val="27"/>
          <w:szCs w:val="27"/>
        </w:rPr>
        <w:t> </w:t>
      </w:r>
    </w:p>
    <w:p>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9" w:name="_Toc256000060"/>
      <w:r>
        <w:rPr>
          <w:rFonts w:ascii="黑体" w:hAnsi="黑体" w:eastAsia="黑体" w:cs="黑体"/>
          <w:b w:val="0"/>
          <w:bCs w:val="0"/>
          <w:spacing w:val="0"/>
        </w:rPr>
        <w:t>四、财政拨款收入支出决算总表</w:t>
      </w:r>
      <w:bookmarkEnd w:id="9"/>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2"/>
        <w:tblW w:w="15159" w:type="dxa"/>
        <w:tblInd w:w="20" w:type="dxa"/>
        <w:tblLayout w:type="fixed"/>
        <w:tblCellMar>
          <w:top w:w="0" w:type="dxa"/>
          <w:left w:w="108" w:type="dxa"/>
          <w:bottom w:w="0" w:type="dxa"/>
          <w:right w:w="108" w:type="dxa"/>
        </w:tblCellMar>
      </w:tblPr>
      <w:tblGrid>
        <w:gridCol w:w="2165"/>
        <w:gridCol w:w="2165"/>
        <w:gridCol w:w="2165"/>
        <w:gridCol w:w="2166"/>
        <w:gridCol w:w="2166"/>
        <w:gridCol w:w="2166"/>
        <w:gridCol w:w="2166"/>
      </w:tblGrid>
      <w:tr>
        <w:tblPrEx>
          <w:tblLayout w:type="fixed"/>
          <w:tblCellMar>
            <w:top w:w="0" w:type="dxa"/>
            <w:left w:w="108" w:type="dxa"/>
            <w:bottom w:w="0" w:type="dxa"/>
            <w:right w:w="108" w:type="dxa"/>
          </w:tblCellMar>
        </w:tblPrEx>
        <w:trPr>
          <w:cantSplit/>
          <w:tblHeader/>
        </w:trPr>
        <w:tc>
          <w:tcPr>
            <w:tcW w:w="15159" w:type="dxa"/>
            <w:gridSpan w:val="7"/>
            <w:tcMar>
              <w:top w:w="15" w:type="dxa"/>
              <w:left w:w="108" w:type="dxa"/>
              <w:bottom w:w="15" w:type="dxa"/>
              <w:right w:w="108" w:type="dxa"/>
            </w:tcMar>
            <w:vAlign w:val="center"/>
          </w:tcPr>
          <w:p>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财政拨款收入支出决算总表</w:t>
            </w:r>
          </w:p>
        </w:tc>
      </w:tr>
      <w:tr>
        <w:tblPrEx>
          <w:tblLayout w:type="fixed"/>
          <w:tblCellMar>
            <w:top w:w="0" w:type="dxa"/>
            <w:left w:w="108" w:type="dxa"/>
            <w:bottom w:w="0" w:type="dxa"/>
            <w:right w:w="108" w:type="dxa"/>
          </w:tblCellMar>
        </w:tblPrEx>
        <w:trPr>
          <w:cantSplit/>
          <w:tblHeader/>
        </w:trPr>
        <w:tc>
          <w:tcPr>
            <w:tcW w:w="8661" w:type="dxa"/>
            <w:gridSpan w:val="4"/>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6"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332" w:type="dxa"/>
            <w:gridSpan w:val="2"/>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公开04表</w:t>
            </w:r>
          </w:p>
        </w:tc>
      </w:tr>
      <w:tr>
        <w:tblPrEx>
          <w:tblLayout w:type="fixed"/>
          <w:tblCellMar>
            <w:top w:w="0" w:type="dxa"/>
            <w:left w:w="108" w:type="dxa"/>
            <w:bottom w:w="0" w:type="dxa"/>
            <w:right w:w="108" w:type="dxa"/>
          </w:tblCellMar>
        </w:tblPrEx>
        <w:trPr>
          <w:cantSplit/>
          <w:tblHeader/>
        </w:trPr>
        <w:tc>
          <w:tcPr>
            <w:tcW w:w="8661" w:type="dxa"/>
            <w:gridSpan w:val="4"/>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编制单位：中共闽清县委宣传部（本级）</w:t>
            </w:r>
          </w:p>
        </w:tc>
        <w:tc>
          <w:tcPr>
            <w:tcW w:w="2166"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332" w:type="dxa"/>
            <w:gridSpan w:val="2"/>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tblPrEx>
          <w:tblLayout w:type="fixed"/>
          <w:tblCellMar>
            <w:top w:w="0" w:type="dxa"/>
            <w:left w:w="108" w:type="dxa"/>
            <w:bottom w:w="0" w:type="dxa"/>
            <w:right w:w="108" w:type="dxa"/>
          </w:tblCellMar>
        </w:tblPrEx>
        <w:trPr>
          <w:cantSplit/>
          <w:tblHeader/>
        </w:trPr>
        <w:tc>
          <w:tcPr>
            <w:tcW w:w="4330"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收入</w:t>
            </w:r>
          </w:p>
        </w:tc>
        <w:tc>
          <w:tcPr>
            <w:tcW w:w="10829" w:type="dxa"/>
            <w:gridSpan w:val="5"/>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w:t>
            </w:r>
          </w:p>
        </w:tc>
      </w:tr>
      <w:tr>
        <w:tblPrEx>
          <w:tblLayout w:type="fixed"/>
          <w:tblCellMar>
            <w:top w:w="0" w:type="dxa"/>
            <w:left w:w="108" w:type="dxa"/>
            <w:bottom w:w="0" w:type="dxa"/>
            <w:right w:w="108" w:type="dxa"/>
          </w:tblCellMar>
        </w:tblPrEx>
        <w:trPr>
          <w:cantSplit/>
          <w:tblHeader/>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项目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项目（按功能分类）</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一般公共预算财政拨款</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政府性基金预算财政拨款</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国有资本经营预算财政拨款</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一、一般公共预算财政拨款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1,182.07</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一、一般公共服务支出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922.52</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922.52</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二、外交支出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三、国防支出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四、公共安全支出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五、教育支出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六、科学技术支出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七、文化旅游体育与传媒支出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148.48</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117.24</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八、社会保障和就业支出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87.39</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87.39</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九、卫生健康支出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20.14</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20.14</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十、节能环保支出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十一、城乡社区支出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十二、农林水支出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十三、交通运输支出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十四、资源勘探工业信息等支出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十五、商业服务业等支出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十六、金融支出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十七、援助其他地区支出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十八、自然资源海洋气象等支出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十九、住房保障支出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33.54</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33.54</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二十、粮油物资储备支出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二十一、国有资本经营预算支出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二十二、灾害防治及应急管理支出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二十三、其他支出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二十四、债务还本支出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二十五、债务付息支出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二十六、抗疫特别国债安排的支出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1,213.31</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1,213.31</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1,182.07</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年初财政拨款结转和结余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年末财政拨款结转和结余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一、一般公共预算财政拨款</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总计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1,213.31</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总计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1,213.31</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1,182.07</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5159" w:type="dxa"/>
            <w:gridSpan w:val="7"/>
            <w:tcMar>
              <w:top w:w="15" w:type="dxa"/>
              <w:left w:w="108" w:type="dxa"/>
              <w:bottom w:w="15" w:type="dxa"/>
              <w:right w:w="108" w:type="dxa"/>
            </w:tcMar>
            <w:vAlign w:val="center"/>
          </w:tcPr>
          <w:p>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注：1.本表反映单位本年度一般公共预算财政拨款、政府性基金预算财政拨款和国有资本经营预算财政拨款的总收支和结转结余情况。</w:t>
            </w:r>
          </w:p>
        </w:tc>
      </w:tr>
      <w:tr>
        <w:tblPrEx>
          <w:tblLayout w:type="fixed"/>
          <w:tblCellMar>
            <w:top w:w="0" w:type="dxa"/>
            <w:left w:w="108" w:type="dxa"/>
            <w:bottom w:w="0" w:type="dxa"/>
            <w:right w:w="108" w:type="dxa"/>
          </w:tblCellMar>
        </w:tblPrEx>
        <w:trPr>
          <w:cantSplit/>
        </w:trPr>
        <w:tc>
          <w:tcPr>
            <w:tcW w:w="15159" w:type="dxa"/>
            <w:gridSpan w:val="7"/>
            <w:tcMar>
              <w:top w:w="15" w:type="dxa"/>
              <w:left w:w="108" w:type="dxa"/>
              <w:bottom w:w="15" w:type="dxa"/>
              <w:right w:w="108" w:type="dxa"/>
            </w:tcMar>
            <w:vAlign w:val="center"/>
          </w:tcPr>
          <w:p>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pPr>
        <w:sectPr>
          <w:footerReference r:id="rId11" w:type="default"/>
          <w:pgSz w:w="16383" w:h="11906" w:orient="landscape"/>
          <w:pgMar w:top="1134" w:right="720" w:bottom="1134" w:left="720" w:header="720" w:footer="720" w:gutter="0"/>
          <w:cols w:space="720" w:num="1"/>
        </w:sectPr>
      </w:pPr>
    </w:p>
    <w:p>
      <w:pPr>
        <w:pStyle w:val="29"/>
        <w:widowControl/>
        <w:spacing w:before="240" w:after="100"/>
        <w:ind w:left="100" w:right="100" w:firstLine="0"/>
        <w:jc w:val="left"/>
        <w:rPr>
          <w:rFonts w:ascii="Times New Roman" w:hAnsi="Times New Roman" w:eastAsia="Times New Roman" w:cs="Times New Roman"/>
          <w:kern w:val="0"/>
          <w:sz w:val="24"/>
        </w:rPr>
      </w:pPr>
      <w:r>
        <w:rPr>
          <w:rFonts w:ascii="Times New Roman" w:hAnsi="Times New Roman" w:eastAsia="Times New Roman" w:cs="Times New Roman"/>
          <w:spacing w:val="0"/>
          <w:kern w:val="0"/>
          <w:sz w:val="27"/>
          <w:szCs w:val="27"/>
        </w:rPr>
        <w:t> </w:t>
      </w:r>
    </w:p>
    <w:p>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0" w:name="_Toc256000061"/>
      <w:r>
        <w:rPr>
          <w:rFonts w:ascii="黑体" w:hAnsi="黑体" w:eastAsia="黑体" w:cs="黑体"/>
          <w:b w:val="0"/>
          <w:bCs w:val="0"/>
          <w:spacing w:val="0"/>
        </w:rPr>
        <w:t>五、一般公共预算财政拨款支出决算表</w:t>
      </w:r>
      <w:bookmarkEnd w:id="10"/>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gk05</w:t>
      </w:r>
    </w:p>
    <w:tbl>
      <w:tblPr>
        <w:tblStyle w:val="22"/>
        <w:tblW w:w="15159" w:type="dxa"/>
        <w:tblInd w:w="20" w:type="dxa"/>
        <w:tblLayout w:type="fixed"/>
        <w:tblCellMar>
          <w:top w:w="0" w:type="dxa"/>
          <w:left w:w="108" w:type="dxa"/>
          <w:bottom w:w="0" w:type="dxa"/>
          <w:right w:w="108" w:type="dxa"/>
        </w:tblCellMar>
      </w:tblPr>
      <w:tblGrid>
        <w:gridCol w:w="1740"/>
        <w:gridCol w:w="3354"/>
        <w:gridCol w:w="3355"/>
        <w:gridCol w:w="3355"/>
        <w:gridCol w:w="3355"/>
      </w:tblGrid>
      <w:tr>
        <w:tblPrEx>
          <w:tblLayout w:type="fixed"/>
          <w:tblCellMar>
            <w:top w:w="0" w:type="dxa"/>
            <w:left w:w="108" w:type="dxa"/>
            <w:bottom w:w="0" w:type="dxa"/>
            <w:right w:w="108" w:type="dxa"/>
          </w:tblCellMar>
        </w:tblPrEx>
        <w:trPr>
          <w:cantSplit/>
          <w:tblHeader/>
        </w:trPr>
        <w:tc>
          <w:tcPr>
            <w:tcW w:w="15159" w:type="dxa"/>
            <w:gridSpan w:val="5"/>
            <w:tcMar>
              <w:top w:w="15" w:type="dxa"/>
              <w:left w:w="108" w:type="dxa"/>
              <w:bottom w:w="15" w:type="dxa"/>
              <w:right w:w="108" w:type="dxa"/>
            </w:tcMar>
            <w:vAlign w:val="center"/>
          </w:tcPr>
          <w:p>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一般公共预算财政拨款支出决算表</w:t>
            </w:r>
          </w:p>
        </w:tc>
      </w:tr>
      <w:tr>
        <w:tblPrEx>
          <w:tblLayout w:type="fixed"/>
          <w:tblCellMar>
            <w:top w:w="0" w:type="dxa"/>
            <w:left w:w="108" w:type="dxa"/>
            <w:bottom w:w="0" w:type="dxa"/>
            <w:right w:w="108" w:type="dxa"/>
          </w:tblCellMar>
        </w:tblPrEx>
        <w:trPr>
          <w:cantSplit/>
          <w:tblHeader/>
        </w:trPr>
        <w:tc>
          <w:tcPr>
            <w:tcW w:w="5094" w:type="dxa"/>
            <w:gridSpan w:val="2"/>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355"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6710" w:type="dxa"/>
            <w:gridSpan w:val="2"/>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公开05表</w:t>
            </w:r>
          </w:p>
        </w:tc>
      </w:tr>
      <w:tr>
        <w:tblPrEx>
          <w:tblLayout w:type="fixed"/>
          <w:tblCellMar>
            <w:top w:w="0" w:type="dxa"/>
            <w:left w:w="108" w:type="dxa"/>
            <w:bottom w:w="0" w:type="dxa"/>
            <w:right w:w="108" w:type="dxa"/>
          </w:tblCellMar>
        </w:tblPrEx>
        <w:trPr>
          <w:cantSplit/>
          <w:tblHeader/>
        </w:trPr>
        <w:tc>
          <w:tcPr>
            <w:tcW w:w="8449" w:type="dxa"/>
            <w:gridSpan w:val="3"/>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编制单位：中共闽清县委宣传部（本级）</w:t>
            </w:r>
          </w:p>
        </w:tc>
        <w:tc>
          <w:tcPr>
            <w:tcW w:w="6710" w:type="dxa"/>
            <w:gridSpan w:val="2"/>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tblPrEx>
          <w:tblLayout w:type="fixed"/>
          <w:tblCellMar>
            <w:top w:w="0" w:type="dxa"/>
            <w:left w:w="108" w:type="dxa"/>
            <w:bottom w:w="0" w:type="dxa"/>
            <w:right w:w="108" w:type="dxa"/>
          </w:tblCellMar>
        </w:tblPrEx>
        <w:trPr>
          <w:cantSplit/>
          <w:tblHeader/>
        </w:trPr>
        <w:tc>
          <w:tcPr>
            <w:tcW w:w="5094"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1006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r>
      <w:tr>
        <w:tblPrEx>
          <w:tblLayout w:type="fixed"/>
          <w:tblCellMar>
            <w:top w:w="0" w:type="dxa"/>
            <w:left w:w="108" w:type="dxa"/>
            <w:bottom w:w="0" w:type="dxa"/>
            <w:right w:w="108" w:type="dxa"/>
          </w:tblCellMar>
        </w:tblPrEx>
        <w:trPr>
          <w:cantSplit/>
          <w:tblHeader/>
        </w:trPr>
        <w:tc>
          <w:tcPr>
            <w:tcW w:w="1740"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功能分类科目编码</w:t>
            </w:r>
          </w:p>
        </w:tc>
        <w:tc>
          <w:tcPr>
            <w:tcW w:w="3354"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3355"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小计</w:t>
            </w:r>
          </w:p>
        </w:tc>
        <w:tc>
          <w:tcPr>
            <w:tcW w:w="3355"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3355"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r>
      <w:tr>
        <w:tblPrEx>
          <w:tblLayout w:type="fixed"/>
          <w:tblCellMar>
            <w:top w:w="0" w:type="dxa"/>
            <w:left w:w="108" w:type="dxa"/>
            <w:bottom w:w="0" w:type="dxa"/>
            <w:right w:w="108" w:type="dxa"/>
          </w:tblCellMar>
        </w:tblPrEx>
        <w:trPr>
          <w:cantSplit/>
          <w:tblHeader/>
        </w:trPr>
        <w:tc>
          <w:tcPr>
            <w:tcW w:w="1740"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3354"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3355"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3355"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3355"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Layout w:type="fixed"/>
          <w:tblCellMar>
            <w:top w:w="0" w:type="dxa"/>
            <w:left w:w="108" w:type="dxa"/>
            <w:bottom w:w="0" w:type="dxa"/>
            <w:right w:w="108" w:type="dxa"/>
          </w:tblCellMar>
        </w:tblPrEx>
        <w:trPr>
          <w:cantSplit/>
          <w:tblHeader/>
        </w:trPr>
        <w:tc>
          <w:tcPr>
            <w:tcW w:w="5094"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1,182.07</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476.55</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705.52</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一般公共服务支出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922.52</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334.25</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588.28</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20133</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宣传事务</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922.52</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334.25</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588.28</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2013301</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268.35</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268.35</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2013350</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事业运行</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36.28</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36.28</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2013399</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其他宣传事务支出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617.89</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29.61</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588.28</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文化旅游体育与传媒支出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117.24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117.24</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20706</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新闻出版电影</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47.04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47.04</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2070607</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电影</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47.04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47.04</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20799</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其他文化旅游体育与传媒支出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70.21</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70.21</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2079999</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其他文化旅游体育与传媒支出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70.21</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70.21</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社会保障和就业支出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87.39</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87.39</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行政事业单位养老支出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82.39</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82.39</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2080501</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行政单位离退休</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32.24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32.24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2080505</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机关事业单位基本养老保险缴费支出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33.45</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33.45</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2080506</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机关事业单位职业年金缴费支出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16.70</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16.70</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2089999</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卫生健康支出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行政事业单位医疗</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2101101</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行政单位医疗</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10.39</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10.39</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2101102</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事业单位医疗</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1.38</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1.38</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2101103</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公务员医疗补助</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8.37</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8.37</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农林水支出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巩固脱贫攻坚成果衔接乡村振兴</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2130599</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其他巩固脱贫攻坚成果衔接乡村振兴支出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住房保障支出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33.54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33.54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住房改革支出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33.54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33.54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2210201</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住房公积金</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28.27</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28.27</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2210202</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提租补贴</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5.27</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5.27</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5159" w:type="dxa"/>
            <w:gridSpan w:val="5"/>
            <w:tcMar>
              <w:top w:w="15" w:type="dxa"/>
              <w:left w:w="108" w:type="dxa"/>
              <w:bottom w:w="15" w:type="dxa"/>
              <w:right w:w="108" w:type="dxa"/>
            </w:tcMar>
            <w:vAlign w:val="center"/>
          </w:tcPr>
          <w:p>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注：1.本表反映单位本年度一般公共预算财政拨款支出情况。</w:t>
            </w:r>
          </w:p>
        </w:tc>
      </w:tr>
      <w:tr>
        <w:tblPrEx>
          <w:tblLayout w:type="fixed"/>
          <w:tblCellMar>
            <w:top w:w="0" w:type="dxa"/>
            <w:left w:w="108" w:type="dxa"/>
            <w:bottom w:w="0" w:type="dxa"/>
            <w:right w:w="108" w:type="dxa"/>
          </w:tblCellMar>
        </w:tblPrEx>
        <w:trPr>
          <w:cantSplit/>
        </w:trPr>
        <w:tc>
          <w:tcPr>
            <w:tcW w:w="15159" w:type="dxa"/>
            <w:gridSpan w:val="5"/>
            <w:tcMar>
              <w:top w:w="15" w:type="dxa"/>
              <w:left w:w="108" w:type="dxa"/>
              <w:bottom w:w="15" w:type="dxa"/>
              <w:right w:w="108" w:type="dxa"/>
            </w:tcMar>
            <w:vAlign w:val="center"/>
          </w:tcPr>
          <w:p>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pPr>
        <w:sectPr>
          <w:footerReference r:id="rId12" w:type="default"/>
          <w:pgSz w:w="16383" w:h="11906" w:orient="landscape"/>
          <w:pgMar w:top="1134" w:right="720" w:bottom="1134" w:left="720" w:header="720" w:footer="720" w:gutter="0"/>
          <w:cols w:space="720" w:num="1"/>
        </w:sectPr>
      </w:pPr>
    </w:p>
    <w:p>
      <w:pPr>
        <w:pStyle w:val="29"/>
        <w:widowControl/>
        <w:spacing w:before="240" w:after="100"/>
        <w:ind w:left="100" w:right="100" w:firstLine="0"/>
        <w:jc w:val="left"/>
        <w:rPr>
          <w:rFonts w:ascii="Times New Roman" w:hAnsi="Times New Roman" w:eastAsia="Times New Roman" w:cs="Times New Roman"/>
          <w:kern w:val="0"/>
          <w:sz w:val="24"/>
        </w:rPr>
      </w:pPr>
      <w:r>
        <w:rPr>
          <w:rFonts w:ascii="宋体" w:hAnsi="宋体" w:eastAsia="宋体" w:cs="宋体"/>
          <w:spacing w:val="0"/>
          <w:kern w:val="0"/>
          <w:sz w:val="24"/>
        </w:rPr>
        <w:t> </w:t>
      </w:r>
    </w:p>
    <w:p>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1" w:name="_Toc256000062"/>
      <w:r>
        <w:rPr>
          <w:rFonts w:ascii="黑体" w:hAnsi="黑体" w:eastAsia="黑体" w:cs="黑体"/>
          <w:b w:val="0"/>
          <w:bCs w:val="0"/>
          <w:spacing w:val="0"/>
        </w:rPr>
        <w:t>六、一般公共预算财政拨款基本支出决算表</w:t>
      </w:r>
      <w:bookmarkEnd w:id="11"/>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2"/>
        <w:tblW w:w="15159" w:type="dxa"/>
        <w:tblInd w:w="20" w:type="dxa"/>
        <w:tblLayout w:type="fixed"/>
        <w:tblCellMar>
          <w:top w:w="0" w:type="dxa"/>
          <w:left w:w="108" w:type="dxa"/>
          <w:bottom w:w="0" w:type="dxa"/>
          <w:right w:w="108" w:type="dxa"/>
        </w:tblCellMar>
      </w:tblPr>
      <w:tblGrid>
        <w:gridCol w:w="1685"/>
        <w:gridCol w:w="1685"/>
        <w:gridCol w:w="1685"/>
        <w:gridCol w:w="1684"/>
        <w:gridCol w:w="1684"/>
        <w:gridCol w:w="1684"/>
        <w:gridCol w:w="1684"/>
        <w:gridCol w:w="1684"/>
        <w:gridCol w:w="1684"/>
      </w:tblGrid>
      <w:tr>
        <w:tblPrEx>
          <w:tblLayout w:type="fixed"/>
          <w:tblCellMar>
            <w:top w:w="0" w:type="dxa"/>
            <w:left w:w="108" w:type="dxa"/>
            <w:bottom w:w="0" w:type="dxa"/>
            <w:right w:w="108" w:type="dxa"/>
          </w:tblCellMar>
        </w:tblPrEx>
        <w:trPr>
          <w:cantSplit/>
          <w:tblHeader/>
        </w:trPr>
        <w:tc>
          <w:tcPr>
            <w:tcW w:w="15159" w:type="dxa"/>
            <w:gridSpan w:val="9"/>
            <w:tcMar>
              <w:top w:w="15" w:type="dxa"/>
              <w:left w:w="108" w:type="dxa"/>
              <w:bottom w:w="15" w:type="dxa"/>
              <w:right w:w="108" w:type="dxa"/>
            </w:tcMar>
            <w:vAlign w:val="center"/>
          </w:tcPr>
          <w:p>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一般公共预算财政拨款基本支出决算表</w:t>
            </w:r>
          </w:p>
        </w:tc>
      </w:tr>
      <w:tr>
        <w:tblPrEx>
          <w:tblLayout w:type="fixed"/>
          <w:tblCellMar>
            <w:top w:w="0" w:type="dxa"/>
            <w:left w:w="108" w:type="dxa"/>
            <w:bottom w:w="0" w:type="dxa"/>
            <w:right w:w="108" w:type="dxa"/>
          </w:tblCellMar>
        </w:tblPrEx>
        <w:trPr>
          <w:cantSplit/>
          <w:tblHeader/>
        </w:trPr>
        <w:tc>
          <w:tcPr>
            <w:tcW w:w="6739" w:type="dxa"/>
            <w:gridSpan w:val="4"/>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84"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84"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84"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368" w:type="dxa"/>
            <w:gridSpan w:val="2"/>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公开06表</w:t>
            </w:r>
          </w:p>
        </w:tc>
      </w:tr>
      <w:tr>
        <w:tblPrEx>
          <w:tblLayout w:type="fixed"/>
          <w:tblCellMar>
            <w:top w:w="0" w:type="dxa"/>
            <w:left w:w="108" w:type="dxa"/>
            <w:bottom w:w="0" w:type="dxa"/>
            <w:right w:w="108" w:type="dxa"/>
          </w:tblCellMar>
        </w:tblPrEx>
        <w:trPr>
          <w:cantSplit/>
          <w:tblHeader/>
        </w:trPr>
        <w:tc>
          <w:tcPr>
            <w:tcW w:w="10107" w:type="dxa"/>
            <w:gridSpan w:val="6"/>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编制单位：中共闽清县委宣传部（本级）</w:t>
            </w:r>
          </w:p>
        </w:tc>
        <w:tc>
          <w:tcPr>
            <w:tcW w:w="1684"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368" w:type="dxa"/>
            <w:gridSpan w:val="2"/>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tblPrEx>
          <w:tblLayout w:type="fixed"/>
          <w:tblCellMar>
            <w:top w:w="0" w:type="dxa"/>
            <w:left w:w="108" w:type="dxa"/>
            <w:bottom w:w="0" w:type="dxa"/>
            <w:right w:w="108" w:type="dxa"/>
          </w:tblCellMar>
        </w:tblPrEx>
        <w:trPr>
          <w:cantSplit/>
          <w:tblHeader/>
        </w:trPr>
        <w:tc>
          <w:tcPr>
            <w:tcW w:w="1685"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1685"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685"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1684"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1684"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684"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1684"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1684"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684"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r>
      <w:tr>
        <w:tblPrEx>
          <w:tblLayout w:type="fixed"/>
          <w:tblCellMar>
            <w:top w:w="0" w:type="dxa"/>
            <w:left w:w="108" w:type="dxa"/>
            <w:bottom w:w="0" w:type="dxa"/>
            <w:right w:w="108" w:type="dxa"/>
          </w:tblCellMar>
        </w:tblPrEx>
        <w:trPr>
          <w:cantSplit/>
          <w:tblHeader/>
        </w:trPr>
        <w:tc>
          <w:tcPr>
            <w:tcW w:w="1685"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85"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85"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84"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84"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84"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84"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84"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84"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工资福利支出</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381.53</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商品和服务支出</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56.54</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资本性支出</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30101</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基本工资</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86.99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30201</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办公费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2.32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31001</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房屋建筑物购建</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30102</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津贴补贴</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72.81</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印刷费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办公设备购置</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30103</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奖金</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108.28</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30204</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手续费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31003</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专用设备购置</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30106</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伙食补助费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30205</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31005</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基础设施建设</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30107</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绩效工资</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30206</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电费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1.46</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31006</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大型修缮</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30108</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机关事业单位基本养老保险缴费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33.45</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30207</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邮电费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3.84</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31007</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信息网络及软件购置更新</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30109</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职业年金缴费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16.72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30208</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取暖费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31008</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物资储备</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30110</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职工基本医疗保险缴费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11.48</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物业管理费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土地补偿</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30111</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公务员医疗补助缴费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8.37</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30211</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差旅费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1.13</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31010</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安置补助</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30112</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其他社会保障缴费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0.42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因公出国（境）费用</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31011</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地上附着物和青苗补偿</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30113</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住房公积金</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28.95</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30213</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维修（护）费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0.39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拆迁补偿</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30114</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医疗费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0.20</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30214</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租赁费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31013</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公务用车购置</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30199</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其他工资福利支出</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0.17</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30215</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会议费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其他交通工具购置</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对个人和家庭的补助</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38.48</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30216</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培训费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0.21</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31021</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文物和陈列品购置</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30301</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离休费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30217</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公务接待费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31022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无形资产购置</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30302</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退休费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30218</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专用材料费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31099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其他资本性支出</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30303</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退职（役）费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30224</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被装购置费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对企业补助</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30304</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抚恤金</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30225</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专用燃料费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31201</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资本金注入</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30305</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生活补助</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30226</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劳务费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30.51</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31203</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政府投资基金股权投资</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30306</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救济费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30227</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委托业务费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0.12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31204</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费用补贴</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30307</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医疗费补助</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30228</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工会经费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1.73</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31205</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利息补贴</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30308</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助学金</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福利费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0.80</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31206</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其他资本性补助</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30309</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奖励金</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30231</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公务用车运行维护费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31299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其他对企业补助</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30310</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个人农业生产补贴</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9"/>
                <w:szCs w:val="29"/>
              </w:rPr>
            </w:pPr>
            <w:r>
              <w:rPr>
                <w:rFonts w:ascii="宋体" w:hAnsi="宋体" w:eastAsia="宋体" w:cs="宋体"/>
                <w:b w:val="0"/>
                <w:bCs w:val="0"/>
                <w:i w:val="0"/>
                <w:iCs w:val="0"/>
                <w:smallCaps w:val="0"/>
                <w:color w:val="000000"/>
                <w:kern w:val="0"/>
                <w:sz w:val="21"/>
                <w:szCs w:val="29"/>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30239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其他交通费用</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9"/>
                <w:szCs w:val="29"/>
              </w:rPr>
            </w:pPr>
            <w:r>
              <w:rPr>
                <w:rFonts w:ascii="宋体" w:hAnsi="宋体" w:eastAsia="宋体" w:cs="宋体"/>
                <w:b w:val="0"/>
                <w:bCs w:val="0"/>
                <w:i w:val="0"/>
                <w:iCs w:val="0"/>
                <w:smallCaps w:val="0"/>
                <w:color w:val="000000"/>
                <w:kern w:val="0"/>
                <w:sz w:val="21"/>
                <w:szCs w:val="29"/>
              </w:rPr>
              <w:t>10.80</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9"/>
                <w:szCs w:val="29"/>
              </w:rPr>
            </w:pPr>
            <w:r>
              <w:rPr>
                <w:rFonts w:ascii="宋体" w:hAnsi="宋体" w:eastAsia="宋体" w:cs="宋体"/>
                <w:b w:val="0"/>
                <w:bCs w:val="0"/>
                <w:i w:val="0"/>
                <w:iCs w:val="0"/>
                <w:smallCaps w:val="0"/>
                <w:color w:val="000000"/>
                <w:kern w:val="0"/>
                <w:sz w:val="21"/>
                <w:szCs w:val="29"/>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30311</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代缴社会保险费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30240</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税金及附加费用</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39907</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国家赔偿费用支出</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30399</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其他对个人和家庭的补助</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38.48</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30299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其他商品和服务支出</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3.14</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39908</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对民间非营利组织和群众性自治组织补贴</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债务利息及费用支出</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经常性赠与</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30701</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国内债务付息</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39910</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资本性赠与</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国外债务付息</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39999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30703</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国内债务发行费用</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30704</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国外债务发行费用</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370"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人员经费合计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420.01</w:t>
            </w:r>
          </w:p>
        </w:tc>
        <w:tc>
          <w:tcPr>
            <w:tcW w:w="8420" w:type="dxa"/>
            <w:gridSpan w:val="5"/>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公用经费合计</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56.54</w:t>
            </w:r>
          </w:p>
        </w:tc>
      </w:tr>
      <w:tr>
        <w:tblPrEx>
          <w:tblLayout w:type="fixed"/>
          <w:tblCellMar>
            <w:top w:w="0" w:type="dxa"/>
            <w:left w:w="108" w:type="dxa"/>
            <w:bottom w:w="0" w:type="dxa"/>
            <w:right w:w="108" w:type="dxa"/>
          </w:tblCellMar>
        </w:tblPrEx>
        <w:trPr>
          <w:cantSplit/>
        </w:trPr>
        <w:tc>
          <w:tcPr>
            <w:tcW w:w="15159" w:type="dxa"/>
            <w:gridSpan w:val="9"/>
            <w:tcMar>
              <w:top w:w="15" w:type="dxa"/>
              <w:left w:w="108" w:type="dxa"/>
              <w:bottom w:w="15" w:type="dxa"/>
              <w:right w:w="108" w:type="dxa"/>
            </w:tcMar>
            <w:vAlign w:val="center"/>
          </w:tcPr>
          <w:p>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注：1.本表反映单位本年度一般公共预算财政拨款基本支出明细情况。</w:t>
            </w:r>
          </w:p>
        </w:tc>
      </w:tr>
      <w:tr>
        <w:tblPrEx>
          <w:tblLayout w:type="fixed"/>
          <w:tblCellMar>
            <w:top w:w="0" w:type="dxa"/>
            <w:left w:w="108" w:type="dxa"/>
            <w:bottom w:w="0" w:type="dxa"/>
            <w:right w:w="108" w:type="dxa"/>
          </w:tblCellMar>
        </w:tblPrEx>
        <w:trPr>
          <w:cantSplit/>
        </w:trPr>
        <w:tc>
          <w:tcPr>
            <w:tcW w:w="15159" w:type="dxa"/>
            <w:gridSpan w:val="9"/>
            <w:tcMar>
              <w:top w:w="15" w:type="dxa"/>
              <w:left w:w="108" w:type="dxa"/>
              <w:bottom w:w="15" w:type="dxa"/>
              <w:right w:w="108" w:type="dxa"/>
            </w:tcMar>
            <w:vAlign w:val="center"/>
          </w:tcPr>
          <w:p>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pPr>
        <w:sectPr>
          <w:footerReference r:id="rId13" w:type="default"/>
          <w:pgSz w:w="16383" w:h="11906" w:orient="landscape"/>
          <w:pgMar w:top="1134" w:right="720" w:bottom="1134" w:left="720" w:header="720" w:footer="720" w:gutter="0"/>
          <w:cols w:space="720" w:num="1"/>
        </w:sectPr>
      </w:pPr>
    </w:p>
    <w:p>
      <w:pPr>
        <w:pStyle w:val="29"/>
        <w:widowControl/>
        <w:spacing w:before="240" w:after="100"/>
        <w:ind w:left="100" w:right="100" w:firstLine="0"/>
        <w:jc w:val="left"/>
        <w:rPr>
          <w:rFonts w:ascii="Times New Roman" w:hAnsi="Times New Roman" w:eastAsia="Times New Roman" w:cs="Times New Roman"/>
          <w:kern w:val="0"/>
          <w:sz w:val="24"/>
        </w:rPr>
      </w:pPr>
      <w:r>
        <w:rPr>
          <w:rFonts w:ascii="Times New Roman" w:hAnsi="Times New Roman" w:eastAsia="Times New Roman" w:cs="Times New Roman"/>
          <w:spacing w:val="0"/>
          <w:kern w:val="0"/>
          <w:sz w:val="27"/>
          <w:szCs w:val="27"/>
        </w:rPr>
        <w:t> </w:t>
      </w:r>
    </w:p>
    <w:p>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2" w:name="_Toc256000063"/>
      <w:r>
        <w:rPr>
          <w:rFonts w:ascii="黑体" w:hAnsi="黑体" w:eastAsia="黑体" w:cs="黑体"/>
          <w:b w:val="0"/>
          <w:bCs w:val="0"/>
          <w:spacing w:val="0"/>
        </w:rPr>
        <w:t>七、一般公共预算财政拨款“三公”经费支出决算表</w:t>
      </w:r>
      <w:bookmarkEnd w:id="12"/>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2"/>
        <w:tblW w:w="15159" w:type="dxa"/>
        <w:tblInd w:w="20" w:type="dxa"/>
        <w:tblLayout w:type="fixed"/>
        <w:tblCellMar>
          <w:top w:w="0" w:type="dxa"/>
          <w:left w:w="108" w:type="dxa"/>
          <w:bottom w:w="0" w:type="dxa"/>
          <w:right w:w="108" w:type="dxa"/>
        </w:tblCellMar>
      </w:tblPr>
      <w:tblGrid>
        <w:gridCol w:w="5053"/>
        <w:gridCol w:w="5053"/>
        <w:gridCol w:w="5053"/>
      </w:tblGrid>
      <w:tr>
        <w:tblPrEx>
          <w:tblLayout w:type="fixed"/>
          <w:tblCellMar>
            <w:top w:w="0" w:type="dxa"/>
            <w:left w:w="108" w:type="dxa"/>
            <w:bottom w:w="0" w:type="dxa"/>
            <w:right w:w="108" w:type="dxa"/>
          </w:tblCellMar>
        </w:tblPrEx>
        <w:trPr>
          <w:cantSplit/>
          <w:tblHeader/>
        </w:trPr>
        <w:tc>
          <w:tcPr>
            <w:tcW w:w="15159" w:type="dxa"/>
            <w:gridSpan w:val="3"/>
            <w:tcMar>
              <w:top w:w="15" w:type="dxa"/>
              <w:left w:w="108" w:type="dxa"/>
              <w:bottom w:w="15" w:type="dxa"/>
              <w:right w:w="108" w:type="dxa"/>
            </w:tcMar>
            <w:vAlign w:val="center"/>
          </w:tcPr>
          <w:p>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一般公共预算财政拨款“三公”经费支出决算表</w:t>
            </w:r>
          </w:p>
        </w:tc>
      </w:tr>
      <w:tr>
        <w:tblPrEx>
          <w:tblLayout w:type="fixed"/>
          <w:tblCellMar>
            <w:top w:w="0" w:type="dxa"/>
            <w:left w:w="108" w:type="dxa"/>
            <w:bottom w:w="0" w:type="dxa"/>
            <w:right w:w="108" w:type="dxa"/>
          </w:tblCellMar>
        </w:tblPrEx>
        <w:trPr>
          <w:cantSplit/>
          <w:tblHeader/>
        </w:trPr>
        <w:tc>
          <w:tcPr>
            <w:tcW w:w="10106" w:type="dxa"/>
            <w:gridSpan w:val="2"/>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053" w:type="dxa"/>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公开07表</w:t>
            </w:r>
          </w:p>
        </w:tc>
      </w:tr>
      <w:tr>
        <w:tblPrEx>
          <w:tblLayout w:type="fixed"/>
          <w:tblCellMar>
            <w:top w:w="0" w:type="dxa"/>
            <w:left w:w="108" w:type="dxa"/>
            <w:bottom w:w="0" w:type="dxa"/>
            <w:right w:w="108" w:type="dxa"/>
          </w:tblCellMar>
        </w:tblPrEx>
        <w:trPr>
          <w:cantSplit/>
          <w:tblHeader/>
        </w:trPr>
        <w:tc>
          <w:tcPr>
            <w:tcW w:w="10106" w:type="dxa"/>
            <w:gridSpan w:val="2"/>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编制单位：中共闽清县委宣传部（本级）</w:t>
            </w:r>
          </w:p>
        </w:tc>
        <w:tc>
          <w:tcPr>
            <w:tcW w:w="5053" w:type="dxa"/>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tblPrEx>
          <w:tblLayout w:type="fixed"/>
          <w:tblCellMar>
            <w:top w:w="0" w:type="dxa"/>
            <w:left w:w="108" w:type="dxa"/>
            <w:bottom w:w="0" w:type="dxa"/>
            <w:right w:w="108" w:type="dxa"/>
          </w:tblCellMar>
        </w:tblPrEx>
        <w:trPr>
          <w:cantSplit/>
          <w:tblHeader/>
        </w:trPr>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行次</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r>
      <w:tr>
        <w:tblPrEx>
          <w:tblLayout w:type="fixed"/>
          <w:tblCellMar>
            <w:top w:w="0" w:type="dxa"/>
            <w:left w:w="108" w:type="dxa"/>
            <w:bottom w:w="0" w:type="dxa"/>
            <w:right w:w="108" w:type="dxa"/>
          </w:tblCellMar>
        </w:tblPrEx>
        <w:trPr>
          <w:cantSplit/>
          <w:tblHeader/>
        </w:trPr>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1.33</w:t>
            </w:r>
          </w:p>
        </w:tc>
      </w:tr>
      <w:tr>
        <w:tblPrEx>
          <w:tblLayout w:type="fixed"/>
          <w:tblCellMar>
            <w:top w:w="0" w:type="dxa"/>
            <w:left w:w="108" w:type="dxa"/>
            <w:bottom w:w="0" w:type="dxa"/>
            <w:right w:w="108" w:type="dxa"/>
          </w:tblCellMar>
        </w:tblPrEx>
        <w:trPr>
          <w:cantSplit/>
        </w:trPr>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 因公出国（境）费用</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tblPrEx>
          <w:tblLayout w:type="fixed"/>
          <w:tblCellMar>
            <w:top w:w="0" w:type="dxa"/>
            <w:left w:w="108" w:type="dxa"/>
            <w:bottom w:w="0" w:type="dxa"/>
            <w:right w:w="108" w:type="dxa"/>
          </w:tblCellMar>
        </w:tblPrEx>
        <w:trPr>
          <w:cantSplit/>
        </w:trPr>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 公务用车购置及运行维护费</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tblPrEx>
          <w:tblLayout w:type="fixed"/>
          <w:tblCellMar>
            <w:top w:w="0" w:type="dxa"/>
            <w:left w:w="108" w:type="dxa"/>
            <w:bottom w:w="0" w:type="dxa"/>
            <w:right w:w="108" w:type="dxa"/>
          </w:tblCellMar>
        </w:tblPrEx>
        <w:trPr>
          <w:cantSplit/>
        </w:trPr>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其中：（1）公务用车购置费</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tblPrEx>
          <w:tblLayout w:type="fixed"/>
          <w:tblCellMar>
            <w:top w:w="0" w:type="dxa"/>
            <w:left w:w="108" w:type="dxa"/>
            <w:bottom w:w="0" w:type="dxa"/>
            <w:right w:w="108" w:type="dxa"/>
          </w:tblCellMar>
        </w:tblPrEx>
        <w:trPr>
          <w:cantSplit/>
        </w:trPr>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（2）公务用车运行维护费</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tblPrEx>
          <w:tblLayout w:type="fixed"/>
          <w:tblCellMar>
            <w:top w:w="0" w:type="dxa"/>
            <w:left w:w="108" w:type="dxa"/>
            <w:bottom w:w="0" w:type="dxa"/>
            <w:right w:w="108" w:type="dxa"/>
          </w:tblCellMar>
        </w:tblPrEx>
        <w:trPr>
          <w:cantSplit/>
        </w:trPr>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 公务接待费</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1.33</w:t>
            </w:r>
          </w:p>
        </w:tc>
      </w:tr>
      <w:tr>
        <w:tblPrEx>
          <w:tblLayout w:type="fixed"/>
          <w:tblCellMar>
            <w:top w:w="0" w:type="dxa"/>
            <w:left w:w="108" w:type="dxa"/>
            <w:bottom w:w="0" w:type="dxa"/>
            <w:right w:w="108" w:type="dxa"/>
          </w:tblCellMar>
        </w:tblPrEx>
        <w:trPr>
          <w:cantSplit/>
        </w:trPr>
        <w:tc>
          <w:tcPr>
            <w:tcW w:w="15159" w:type="dxa"/>
            <w:gridSpan w:val="3"/>
            <w:tcMar>
              <w:top w:w="15" w:type="dxa"/>
              <w:left w:w="108" w:type="dxa"/>
              <w:bottom w:w="15" w:type="dxa"/>
              <w:right w:w="108" w:type="dxa"/>
            </w:tcMar>
            <w:vAlign w:val="center"/>
          </w:tcPr>
          <w:p>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注：1.本表反映单位本年度“三公”经费支出决算情况，包括当年一般公共预算财政拨款和以前年度结转资金安排的实际支出。</w:t>
            </w:r>
          </w:p>
        </w:tc>
      </w:tr>
      <w:tr>
        <w:tblPrEx>
          <w:tblLayout w:type="fixed"/>
          <w:tblCellMar>
            <w:top w:w="0" w:type="dxa"/>
            <w:left w:w="108" w:type="dxa"/>
            <w:bottom w:w="0" w:type="dxa"/>
            <w:right w:w="108" w:type="dxa"/>
          </w:tblCellMar>
        </w:tblPrEx>
        <w:trPr>
          <w:cantSplit/>
        </w:trPr>
        <w:tc>
          <w:tcPr>
            <w:tcW w:w="15159" w:type="dxa"/>
            <w:gridSpan w:val="3"/>
            <w:tcMar>
              <w:top w:w="15" w:type="dxa"/>
              <w:left w:w="108" w:type="dxa"/>
              <w:bottom w:w="15" w:type="dxa"/>
              <w:right w:w="108" w:type="dxa"/>
            </w:tcMar>
            <w:vAlign w:val="center"/>
          </w:tcPr>
          <w:p>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r>
        <w:tblPrEx>
          <w:tblLayout w:type="fixed"/>
          <w:tblCellMar>
            <w:top w:w="0" w:type="dxa"/>
            <w:left w:w="108" w:type="dxa"/>
            <w:bottom w:w="0" w:type="dxa"/>
            <w:right w:w="108" w:type="dxa"/>
          </w:tblCellMar>
        </w:tblPrEx>
        <w:trPr>
          <w:cantSplit/>
        </w:trPr>
        <w:tc>
          <w:tcPr>
            <w:tcW w:w="15159" w:type="dxa"/>
            <w:gridSpan w:val="3"/>
            <w:tcMar>
              <w:top w:w="15" w:type="dxa"/>
              <w:left w:w="108" w:type="dxa"/>
              <w:bottom w:w="15" w:type="dxa"/>
              <w:right w:w="108" w:type="dxa"/>
            </w:tcMar>
            <w:vAlign w:val="center"/>
          </w:tcPr>
          <w:p>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pPr>
        <w:sectPr>
          <w:footerReference r:id="rId14" w:type="default"/>
          <w:pgSz w:w="16383" w:h="11906" w:orient="landscape"/>
          <w:pgMar w:top="1134" w:right="720" w:bottom="1134" w:left="720" w:header="720" w:footer="720" w:gutter="0"/>
          <w:cols w:space="720" w:num="1"/>
        </w:sectPr>
      </w:pPr>
    </w:p>
    <w:p>
      <w:pPr>
        <w:pStyle w:val="28"/>
        <w:widowControl/>
        <w:spacing w:before="240" w:after="100"/>
        <w:ind w:left="100" w:right="100" w:firstLine="0"/>
        <w:jc w:val="left"/>
        <w:rPr>
          <w:rFonts w:ascii="Times New Roman" w:hAnsi="Times New Roman" w:eastAsia="Times New Roman" w:cs="Times New Roman"/>
          <w:kern w:val="0"/>
          <w:sz w:val="24"/>
        </w:rPr>
      </w:pPr>
      <w:r>
        <w:rPr>
          <w:rFonts w:ascii="宋体" w:hAnsi="宋体" w:eastAsia="宋体" w:cs="宋体"/>
          <w:spacing w:val="0"/>
          <w:kern w:val="0"/>
          <w:sz w:val="32"/>
          <w:szCs w:val="32"/>
        </w:rPr>
        <w:t> </w:t>
      </w:r>
    </w:p>
    <w:p>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3" w:name="_Toc256000064"/>
      <w:r>
        <w:rPr>
          <w:rFonts w:ascii="黑体" w:hAnsi="黑体" w:eastAsia="黑体" w:cs="黑体"/>
          <w:b w:val="0"/>
          <w:bCs w:val="0"/>
          <w:spacing w:val="0"/>
        </w:rPr>
        <w:t>八、政府性基金预算财政拨款收入支出决算表</w:t>
      </w:r>
      <w:bookmarkEnd w:id="13"/>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gk08</w:t>
      </w:r>
    </w:p>
    <w:tbl>
      <w:tblPr>
        <w:tblStyle w:val="22"/>
        <w:tblW w:w="15159" w:type="dxa"/>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tblPrEx>
          <w:tblLayout w:type="fixed"/>
          <w:tblCellMar>
            <w:top w:w="0" w:type="dxa"/>
            <w:left w:w="108" w:type="dxa"/>
            <w:bottom w:w="0" w:type="dxa"/>
            <w:right w:w="108" w:type="dxa"/>
          </w:tblCellMar>
        </w:tblPrEx>
        <w:trPr>
          <w:cantSplit/>
          <w:tblHeader/>
        </w:trPr>
        <w:tc>
          <w:tcPr>
            <w:tcW w:w="15159" w:type="dxa"/>
            <w:gridSpan w:val="10"/>
            <w:tcMar>
              <w:top w:w="15" w:type="dxa"/>
              <w:left w:w="108" w:type="dxa"/>
              <w:bottom w:w="15" w:type="dxa"/>
              <w:right w:w="108" w:type="dxa"/>
            </w:tcMar>
            <w:vAlign w:val="center"/>
          </w:tcPr>
          <w:p>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政府性基金预算财政拨款收入支出决算表</w:t>
            </w:r>
          </w:p>
        </w:tc>
      </w:tr>
      <w:tr>
        <w:tblPrEx>
          <w:tblLayout w:type="fixed"/>
          <w:tblCellMar>
            <w:top w:w="0" w:type="dxa"/>
            <w:left w:w="108" w:type="dxa"/>
            <w:bottom w:w="0" w:type="dxa"/>
            <w:right w:w="108" w:type="dxa"/>
          </w:tblCellMar>
        </w:tblPrEx>
        <w:trPr>
          <w:cantSplit/>
          <w:tblHeader/>
        </w:trPr>
        <w:tc>
          <w:tcPr>
            <w:tcW w:w="1258" w:type="dxa"/>
            <w:gridSpan w:val="2"/>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629"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公开08表</w:t>
            </w:r>
          </w:p>
        </w:tc>
      </w:tr>
      <w:tr>
        <w:tblPrEx>
          <w:tblLayout w:type="fixed"/>
          <w:tblCellMar>
            <w:top w:w="0" w:type="dxa"/>
            <w:left w:w="108" w:type="dxa"/>
            <w:bottom w:w="0" w:type="dxa"/>
            <w:right w:w="108" w:type="dxa"/>
          </w:tblCellMar>
        </w:tblPrEx>
        <w:trPr>
          <w:cantSplit/>
          <w:tblHeader/>
        </w:trPr>
        <w:tc>
          <w:tcPr>
            <w:tcW w:w="9471" w:type="dxa"/>
            <w:gridSpan w:val="7"/>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编制单位：中共闽清县委宣传部（本级）</w:t>
            </w:r>
          </w:p>
        </w:tc>
        <w:tc>
          <w:tcPr>
            <w:tcW w:w="1896"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tblPrEx>
          <w:tblLayout w:type="fixed"/>
          <w:tblCellMar>
            <w:top w:w="0" w:type="dxa"/>
            <w:left w:w="108" w:type="dxa"/>
            <w:bottom w:w="0" w:type="dxa"/>
            <w:right w:w="108" w:type="dxa"/>
          </w:tblCellMar>
        </w:tblPrEx>
        <w:trPr>
          <w:cantSplit/>
          <w:tblHeader/>
        </w:trPr>
        <w:tc>
          <w:tcPr>
            <w:tcW w:w="3783" w:type="dxa"/>
            <w:gridSpan w:val="4"/>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年初结转和结余 </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w:t>
            </w:r>
          </w:p>
        </w:tc>
        <w:tc>
          <w:tcPr>
            <w:tcW w:w="5688"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年末结转和结余</w:t>
            </w:r>
          </w:p>
        </w:tc>
      </w:tr>
      <w:tr>
        <w:tblPrEx>
          <w:tblLayout w:type="fixed"/>
          <w:tblCellMar>
            <w:top w:w="0" w:type="dxa"/>
            <w:left w:w="108" w:type="dxa"/>
            <w:bottom w:w="0" w:type="dxa"/>
            <w:right w:w="108" w:type="dxa"/>
          </w:tblCellMar>
        </w:tblPrEx>
        <w:trPr>
          <w:cantSplit/>
          <w:tblHeader/>
        </w:trPr>
        <w:tc>
          <w:tcPr>
            <w:tcW w:w="1887" w:type="dxa"/>
            <w:gridSpan w:val="3"/>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896" w:type="dxa"/>
            <w:vMerge w:val="continue"/>
            <w:tcBorders>
              <w:left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小计</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基本支出 </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c>
          <w:tcPr>
            <w:tcW w:w="1896" w:type="dxa"/>
            <w:vMerge w:val="continue"/>
            <w:tcBorders>
              <w:left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Layout w:type="fixed"/>
          <w:tblCellMar>
            <w:top w:w="0" w:type="dxa"/>
            <w:left w:w="108" w:type="dxa"/>
            <w:bottom w:w="0" w:type="dxa"/>
            <w:right w:w="108" w:type="dxa"/>
          </w:tblCellMar>
        </w:tblPrEx>
        <w:trPr>
          <w:cantSplit/>
          <w:tblHeader/>
        </w:trPr>
        <w:tc>
          <w:tcPr>
            <w:tcW w:w="1887"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Layout w:type="fixed"/>
          <w:tblCellMar>
            <w:top w:w="0" w:type="dxa"/>
            <w:left w:w="108" w:type="dxa"/>
            <w:bottom w:w="0" w:type="dxa"/>
            <w:right w:w="108" w:type="dxa"/>
          </w:tblCellMar>
        </w:tblPrEx>
        <w:trPr>
          <w:cantSplit/>
          <w:tblHeader/>
        </w:trPr>
        <w:tc>
          <w:tcPr>
            <w:tcW w:w="629"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629"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629"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栏次</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w:t>
            </w:r>
          </w:p>
        </w:tc>
      </w:tr>
      <w:tr>
        <w:tblPrEx>
          <w:tblLayout w:type="fixed"/>
          <w:tblCellMar>
            <w:top w:w="0" w:type="dxa"/>
            <w:left w:w="108" w:type="dxa"/>
            <w:bottom w:w="0" w:type="dxa"/>
            <w:right w:w="108" w:type="dxa"/>
          </w:tblCellMar>
        </w:tblPrEx>
        <w:trPr>
          <w:cantSplit/>
        </w:trPr>
        <w:tc>
          <w:tcPr>
            <w:tcW w:w="629"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629"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629"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文化旅游体育与传媒支出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20707</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国家电影事业发展专项资金安排的支出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2070799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其他国家电影事业发展专项资金支出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5159" w:type="dxa"/>
            <w:gridSpan w:val="10"/>
            <w:tcMar>
              <w:top w:w="15" w:type="dxa"/>
              <w:left w:w="108" w:type="dxa"/>
              <w:bottom w:w="15" w:type="dxa"/>
              <w:right w:w="108" w:type="dxa"/>
            </w:tcMar>
            <w:vAlign w:val="center"/>
          </w:tcPr>
          <w:p>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 本表反映单位本年度政府性基金预算财政拨款收入、支出及结转和结余情况。</w:t>
            </w:r>
          </w:p>
        </w:tc>
      </w:tr>
      <w:tr>
        <w:tblPrEx>
          <w:tblLayout w:type="fixed"/>
          <w:tblCellMar>
            <w:top w:w="0" w:type="dxa"/>
            <w:left w:w="108" w:type="dxa"/>
            <w:bottom w:w="0" w:type="dxa"/>
            <w:right w:w="108" w:type="dxa"/>
          </w:tblCellMar>
        </w:tblPrEx>
        <w:trPr>
          <w:cantSplit/>
        </w:trPr>
        <w:tc>
          <w:tcPr>
            <w:tcW w:w="15159" w:type="dxa"/>
            <w:gridSpan w:val="10"/>
            <w:tcMar>
              <w:top w:w="15" w:type="dxa"/>
              <w:left w:w="108" w:type="dxa"/>
              <w:bottom w:w="15" w:type="dxa"/>
              <w:right w:w="108" w:type="dxa"/>
            </w:tcMar>
            <w:vAlign w:val="center"/>
          </w:tcPr>
          <w:p>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pPr>
        <w:sectPr>
          <w:footerReference r:id="rId15" w:type="default"/>
          <w:pgSz w:w="16383" w:h="11906" w:orient="landscape"/>
          <w:pgMar w:top="1134" w:right="720" w:bottom="1134" w:left="720" w:header="720" w:footer="720" w:gutter="0"/>
          <w:cols w:space="720" w:num="1"/>
        </w:sectPr>
      </w:pPr>
    </w:p>
    <w:p>
      <w:pPr>
        <w:pStyle w:val="28"/>
        <w:widowControl/>
        <w:spacing w:before="240" w:after="100"/>
        <w:ind w:left="100" w:right="100" w:firstLine="0"/>
        <w:jc w:val="left"/>
        <w:rPr>
          <w:rFonts w:ascii="Times New Roman" w:hAnsi="Times New Roman" w:eastAsia="Times New Roman" w:cs="Times New Roman"/>
          <w:kern w:val="0"/>
          <w:sz w:val="24"/>
        </w:rPr>
      </w:pPr>
      <w:r>
        <w:rPr>
          <w:rFonts w:ascii="Times New Roman" w:hAnsi="Times New Roman" w:eastAsia="Times New Roman" w:cs="Times New Roman"/>
          <w:spacing w:val="0"/>
          <w:kern w:val="0"/>
          <w:sz w:val="27"/>
          <w:szCs w:val="27"/>
        </w:rPr>
        <w:t> </w:t>
      </w:r>
    </w:p>
    <w:p>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4" w:name="_Toc256000065"/>
      <w:r>
        <w:rPr>
          <w:rFonts w:ascii="黑体" w:hAnsi="黑体" w:eastAsia="黑体" w:cs="黑体"/>
          <w:b w:val="0"/>
          <w:bCs w:val="0"/>
          <w:spacing w:val="0"/>
        </w:rPr>
        <w:t>九、国有资本经营预算财政拨款支出决算表</w:t>
      </w:r>
      <w:bookmarkEnd w:id="14"/>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gk09</w:t>
      </w:r>
    </w:p>
    <w:tbl>
      <w:tblPr>
        <w:tblStyle w:val="22"/>
        <w:tblW w:w="15159" w:type="dxa"/>
        <w:tblInd w:w="20" w:type="dxa"/>
        <w:tblLayout w:type="fixed"/>
        <w:tblCellMar>
          <w:top w:w="0" w:type="dxa"/>
          <w:left w:w="108" w:type="dxa"/>
          <w:bottom w:w="0" w:type="dxa"/>
          <w:right w:w="108" w:type="dxa"/>
        </w:tblCellMar>
      </w:tblPr>
      <w:tblGrid>
        <w:gridCol w:w="3031"/>
        <w:gridCol w:w="3032"/>
        <w:gridCol w:w="3032"/>
        <w:gridCol w:w="3032"/>
        <w:gridCol w:w="3032"/>
      </w:tblGrid>
      <w:tr>
        <w:tblPrEx>
          <w:tblLayout w:type="fixed"/>
          <w:tblCellMar>
            <w:top w:w="0" w:type="dxa"/>
            <w:left w:w="108" w:type="dxa"/>
            <w:bottom w:w="0" w:type="dxa"/>
            <w:right w:w="108" w:type="dxa"/>
          </w:tblCellMar>
        </w:tblPrEx>
        <w:trPr>
          <w:cantSplit/>
          <w:tblHeader/>
        </w:trPr>
        <w:tc>
          <w:tcPr>
            <w:tcW w:w="15159" w:type="dxa"/>
            <w:gridSpan w:val="5"/>
            <w:tcMar>
              <w:top w:w="15" w:type="dxa"/>
              <w:left w:w="108" w:type="dxa"/>
              <w:bottom w:w="15" w:type="dxa"/>
              <w:right w:w="108" w:type="dxa"/>
            </w:tcMar>
            <w:vAlign w:val="center"/>
          </w:tcPr>
          <w:p>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国有资本经营预算财政拨款支出决算表</w:t>
            </w:r>
          </w:p>
        </w:tc>
      </w:tr>
      <w:tr>
        <w:tblPrEx>
          <w:tblLayout w:type="fixed"/>
          <w:tblCellMar>
            <w:top w:w="0" w:type="dxa"/>
            <w:left w:w="108" w:type="dxa"/>
            <w:bottom w:w="0" w:type="dxa"/>
            <w:right w:w="108" w:type="dxa"/>
          </w:tblCellMar>
        </w:tblPrEx>
        <w:trPr>
          <w:cantSplit/>
          <w:tblHeader/>
        </w:trPr>
        <w:tc>
          <w:tcPr>
            <w:tcW w:w="6063" w:type="dxa"/>
            <w:gridSpan w:val="2"/>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32"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32" w:type="dxa"/>
            <w:tcMar>
              <w:top w:w="15" w:type="dxa"/>
              <w:left w:w="108" w:type="dxa"/>
              <w:bottom w:w="15" w:type="dxa"/>
              <w:right w:w="108"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32" w:type="dxa"/>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公开09表</w:t>
            </w:r>
          </w:p>
        </w:tc>
      </w:tr>
      <w:tr>
        <w:tblPrEx>
          <w:tblLayout w:type="fixed"/>
          <w:tblCellMar>
            <w:top w:w="0" w:type="dxa"/>
            <w:left w:w="108" w:type="dxa"/>
            <w:bottom w:w="0" w:type="dxa"/>
            <w:right w:w="108" w:type="dxa"/>
          </w:tblCellMar>
        </w:tblPrEx>
        <w:trPr>
          <w:cantSplit/>
          <w:tblHeader/>
        </w:trPr>
        <w:tc>
          <w:tcPr>
            <w:tcW w:w="12127" w:type="dxa"/>
            <w:gridSpan w:val="4"/>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编制单位：中共闽清县委宣传部（本级）</w:t>
            </w:r>
          </w:p>
        </w:tc>
        <w:tc>
          <w:tcPr>
            <w:tcW w:w="3032" w:type="dxa"/>
            <w:tcMar>
              <w:top w:w="15" w:type="dxa"/>
              <w:left w:w="108" w:type="dxa"/>
              <w:bottom w:w="15" w:type="dxa"/>
              <w:right w:w="108"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tblPrEx>
          <w:tblLayout w:type="fixed"/>
          <w:tblCellMar>
            <w:top w:w="0" w:type="dxa"/>
            <w:left w:w="108" w:type="dxa"/>
            <w:bottom w:w="0" w:type="dxa"/>
            <w:right w:w="108" w:type="dxa"/>
          </w:tblCellMar>
        </w:tblPrEx>
        <w:trPr>
          <w:cantSplit/>
          <w:tblHeader/>
        </w:trPr>
        <w:tc>
          <w:tcPr>
            <w:tcW w:w="6063"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 目</w:t>
            </w:r>
          </w:p>
        </w:tc>
        <w:tc>
          <w:tcPr>
            <w:tcW w:w="9096"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r>
      <w:tr>
        <w:tblPrEx>
          <w:tblLayout w:type="fixed"/>
          <w:tblCellMar>
            <w:top w:w="0" w:type="dxa"/>
            <w:left w:w="108" w:type="dxa"/>
            <w:bottom w:w="0" w:type="dxa"/>
            <w:right w:w="108" w:type="dxa"/>
          </w:tblCellMar>
        </w:tblPrEx>
        <w:trPr>
          <w:cantSplit/>
          <w:tblHeader/>
        </w:trPr>
        <w:tc>
          <w:tcPr>
            <w:tcW w:w="3031"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功能分类科目编码</w:t>
            </w:r>
          </w:p>
        </w:tc>
        <w:tc>
          <w:tcPr>
            <w:tcW w:w="3032"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3032"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3032"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3032"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r>
      <w:tr>
        <w:tblPrEx>
          <w:tblLayout w:type="fixed"/>
          <w:tblCellMar>
            <w:top w:w="0" w:type="dxa"/>
            <w:left w:w="108" w:type="dxa"/>
            <w:bottom w:w="0" w:type="dxa"/>
            <w:right w:w="108" w:type="dxa"/>
          </w:tblCellMar>
        </w:tblPrEx>
        <w:trPr>
          <w:cantSplit/>
          <w:tblHeader/>
        </w:trPr>
        <w:tc>
          <w:tcPr>
            <w:tcW w:w="3031" w:type="dxa"/>
            <w:vMerge w:val="continue"/>
            <w:tcBorders>
              <w:left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3032" w:type="dxa"/>
            <w:vMerge w:val="continue"/>
            <w:tcBorders>
              <w:left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3032" w:type="dxa"/>
            <w:vMerge w:val="continue"/>
            <w:tcBorders>
              <w:left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3032" w:type="dxa"/>
            <w:vMerge w:val="continue"/>
            <w:tcBorders>
              <w:left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3032" w:type="dxa"/>
            <w:vMerge w:val="continue"/>
            <w:tcBorders>
              <w:left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Layout w:type="fixed"/>
          <w:tblCellMar>
            <w:top w:w="0" w:type="dxa"/>
            <w:left w:w="108" w:type="dxa"/>
            <w:bottom w:w="0" w:type="dxa"/>
            <w:right w:w="108" w:type="dxa"/>
          </w:tblCellMar>
        </w:tblPrEx>
        <w:trPr>
          <w:cantSplit/>
          <w:tblHeader/>
        </w:trPr>
        <w:tc>
          <w:tcPr>
            <w:tcW w:w="3031"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3032"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3032"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3032"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3032" w:type="dxa"/>
            <w:vMerge w:val="continue"/>
            <w:tcBorders>
              <w:left w:val="single" w:color="000000" w:sz="6" w:space="0"/>
              <w:bottom w:val="single" w:color="000000" w:sz="6" w:space="0"/>
              <w:right w:val="single" w:color="000000" w:sz="6" w:space="0"/>
            </w:tcBorders>
            <w:tcMar>
              <w:left w:w="108" w:type="dxa"/>
              <w:right w:w="108" w:type="dxa"/>
            </w:tcMar>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Layout w:type="fixed"/>
          <w:tblCellMar>
            <w:top w:w="0" w:type="dxa"/>
            <w:left w:w="108" w:type="dxa"/>
            <w:bottom w:w="0" w:type="dxa"/>
            <w:right w:w="108" w:type="dxa"/>
          </w:tblCellMar>
        </w:tblPrEx>
        <w:trPr>
          <w:cantSplit/>
          <w:tblHeader/>
        </w:trPr>
        <w:tc>
          <w:tcPr>
            <w:tcW w:w="6063"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栏次</w:t>
            </w:r>
          </w:p>
        </w:tc>
        <w:tc>
          <w:tcPr>
            <w:tcW w:w="303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303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303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r>
      <w:tr>
        <w:tblPrEx>
          <w:tblLayout w:type="fixed"/>
          <w:tblCellMar>
            <w:top w:w="0" w:type="dxa"/>
            <w:left w:w="108" w:type="dxa"/>
            <w:bottom w:w="0" w:type="dxa"/>
            <w:right w:w="108" w:type="dxa"/>
          </w:tblCellMar>
        </w:tblPrEx>
        <w:trPr>
          <w:cantSplit/>
          <w:tblHeader/>
        </w:trPr>
        <w:tc>
          <w:tcPr>
            <w:tcW w:w="6063"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303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03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03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3031"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03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03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03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03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tblPrEx>
          <w:tblLayout w:type="fixed"/>
          <w:tblCellMar>
            <w:top w:w="0" w:type="dxa"/>
            <w:left w:w="108" w:type="dxa"/>
            <w:bottom w:w="0" w:type="dxa"/>
            <w:right w:w="108" w:type="dxa"/>
          </w:tblCellMar>
        </w:tblPrEx>
        <w:trPr>
          <w:cantSplit/>
        </w:trPr>
        <w:tc>
          <w:tcPr>
            <w:tcW w:w="15159" w:type="dxa"/>
            <w:gridSpan w:val="5"/>
            <w:tcMar>
              <w:top w:w="15" w:type="dxa"/>
              <w:left w:w="108" w:type="dxa"/>
              <w:bottom w:w="15" w:type="dxa"/>
              <w:right w:w="108" w:type="dxa"/>
            </w:tcMar>
            <w:vAlign w:val="center"/>
          </w:tcPr>
          <w:p>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r>
        <w:tblPrEx>
          <w:tblLayout w:type="fixed"/>
          <w:tblCellMar>
            <w:top w:w="0" w:type="dxa"/>
            <w:left w:w="108" w:type="dxa"/>
            <w:bottom w:w="0" w:type="dxa"/>
            <w:right w:w="108" w:type="dxa"/>
          </w:tblCellMar>
        </w:tblPrEx>
        <w:trPr>
          <w:cantSplit/>
        </w:trPr>
        <w:tc>
          <w:tcPr>
            <w:tcW w:w="15159" w:type="dxa"/>
            <w:gridSpan w:val="5"/>
            <w:tcMar>
              <w:top w:w="15" w:type="dxa"/>
              <w:left w:w="108" w:type="dxa"/>
              <w:bottom w:w="15" w:type="dxa"/>
              <w:right w:w="108" w:type="dxa"/>
            </w:tcMar>
            <w:vAlign w:val="center"/>
          </w:tcPr>
          <w:p>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注：本单位2025年度没有使用国有资本经营预算财政拨款安排的支出。</w:t>
            </w:r>
          </w:p>
        </w:tc>
      </w:tr>
    </w:tbl>
    <w:p>
      <w:pPr>
        <w:sectPr>
          <w:footerReference r:id="rId16" w:type="default"/>
          <w:pgSz w:w="16383" w:h="11906" w:orient="landscape"/>
          <w:pgMar w:top="1134" w:right="720" w:bottom="1134" w:left="720" w:header="720" w:footer="720" w:gutter="0"/>
          <w:cols w:space="720" w:num="1"/>
        </w:sectPr>
      </w:pPr>
    </w:p>
    <w:p>
      <w:pPr>
        <w:pStyle w:val="28"/>
        <w:widowControl/>
        <w:spacing w:before="240" w:after="240"/>
        <w:jc w:val="left"/>
        <w:rPr>
          <w:rFonts w:ascii="Times New Roman" w:hAnsi="Times New Roman" w:eastAsia="Times New Roman" w:cs="Times New Roman"/>
          <w:kern w:val="0"/>
          <w:sz w:val="24"/>
        </w:rPr>
      </w:pPr>
      <w:r>
        <w:rPr>
          <w:rFonts w:ascii="黑体" w:hAnsi="黑体" w:eastAsia="黑体" w:cs="黑体"/>
          <w:spacing w:val="0"/>
          <w:kern w:val="0"/>
          <w:sz w:val="56"/>
          <w:szCs w:val="56"/>
        </w:rPr>
        <w:t> </w:t>
      </w:r>
    </w:p>
    <w:p>
      <w:pPr>
        <w:pStyle w:val="28"/>
        <w:widowControl/>
        <w:spacing w:before="240" w:after="240"/>
        <w:jc w:val="left"/>
        <w:rPr>
          <w:rFonts w:ascii="Times New Roman" w:hAnsi="Times New Roman" w:eastAsia="Times New Roman" w:cs="Times New Roman"/>
          <w:kern w:val="0"/>
          <w:sz w:val="24"/>
        </w:rPr>
      </w:pPr>
    </w:p>
    <w:p>
      <w:pPr>
        <w:pStyle w:val="28"/>
        <w:widowControl/>
        <w:spacing w:before="240" w:after="240"/>
        <w:jc w:val="left"/>
        <w:rPr>
          <w:rFonts w:ascii="Times New Roman" w:hAnsi="Times New Roman" w:eastAsia="Times New Roman" w:cs="Times New Roman"/>
          <w:kern w:val="0"/>
          <w:sz w:val="24"/>
        </w:rPr>
      </w:pPr>
    </w:p>
    <w:p>
      <w:pPr>
        <w:pStyle w:val="28"/>
        <w:widowControl/>
        <w:spacing w:before="240" w:after="240"/>
        <w:jc w:val="left"/>
        <w:rPr>
          <w:rFonts w:ascii="Times New Roman" w:hAnsi="Times New Roman" w:eastAsia="Times New Roman" w:cs="Times New Roman"/>
          <w:kern w:val="0"/>
          <w:sz w:val="24"/>
        </w:rPr>
      </w:pPr>
    </w:p>
    <w:p>
      <w:pPr>
        <w:pStyle w:val="28"/>
        <w:widowControl/>
        <w:spacing w:before="240" w:after="240"/>
        <w:jc w:val="left"/>
        <w:rPr>
          <w:rFonts w:ascii="Times New Roman" w:hAnsi="Times New Roman" w:eastAsia="Times New Roman" w:cs="Times New Roman"/>
          <w:kern w:val="0"/>
          <w:sz w:val="24"/>
        </w:rPr>
      </w:pPr>
    </w:p>
    <w:p>
      <w:pPr>
        <w:pStyle w:val="28"/>
        <w:widowControl/>
        <w:spacing w:before="240" w:after="240"/>
        <w:jc w:val="left"/>
        <w:rPr>
          <w:rFonts w:ascii="Times New Roman" w:hAnsi="Times New Roman" w:eastAsia="Times New Roman" w:cs="Times New Roman"/>
          <w:kern w:val="0"/>
          <w:sz w:val="24"/>
        </w:rPr>
      </w:pPr>
    </w:p>
    <w:p>
      <w:pPr>
        <w:pStyle w:val="28"/>
        <w:widowControl/>
        <w:spacing w:before="240" w:after="240"/>
        <w:jc w:val="left"/>
        <w:rPr>
          <w:rFonts w:ascii="Times New Roman" w:hAnsi="Times New Roman" w:eastAsia="Times New Roman" w:cs="Times New Roman"/>
          <w:kern w:val="0"/>
          <w:sz w:val="24"/>
        </w:rPr>
      </w:pPr>
    </w:p>
    <w:p>
      <w:pPr>
        <w:pStyle w:val="28"/>
        <w:widowControl/>
        <w:spacing w:before="240" w:after="240"/>
        <w:jc w:val="left"/>
        <w:rPr>
          <w:rFonts w:ascii="Times New Roman" w:hAnsi="Times New Roman" w:eastAsia="Times New Roman" w:cs="Times New Roman"/>
          <w:kern w:val="0"/>
          <w:sz w:val="24"/>
        </w:rPr>
      </w:pPr>
    </w:p>
    <w:p>
      <w:pPr>
        <w:pStyle w:val="28"/>
        <w:widowControl/>
        <w:spacing w:before="240" w:after="240"/>
        <w:jc w:val="left"/>
        <w:rPr>
          <w:rFonts w:ascii="Times New Roman" w:hAnsi="Times New Roman" w:eastAsia="Times New Roman" w:cs="Times New Roman"/>
          <w:kern w:val="0"/>
          <w:sz w:val="24"/>
        </w:rPr>
      </w:pPr>
    </w:p>
    <w:p>
      <w:pPr>
        <w:pStyle w:val="28"/>
        <w:widowControl/>
        <w:spacing w:before="240" w:after="240"/>
        <w:jc w:val="left"/>
        <w:rPr>
          <w:rFonts w:ascii="Times New Roman" w:hAnsi="Times New Roman" w:eastAsia="Times New Roman" w:cs="Times New Roman"/>
          <w:kern w:val="0"/>
          <w:sz w:val="24"/>
        </w:rPr>
      </w:pPr>
    </w:p>
    <w:p>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15" w:name="_Toc256000066"/>
      <w:r>
        <w:rPr>
          <w:rFonts w:ascii="黑体" w:hAnsi="黑体" w:eastAsia="黑体" w:cs="黑体"/>
          <w:b w:val="0"/>
          <w:bCs w:val="0"/>
          <w:spacing w:val="0"/>
          <w:sz w:val="56"/>
          <w:szCs w:val="56"/>
        </w:rPr>
        <w:t>第三部分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2025年度单位决算情况说明</w:t>
      </w:r>
      <w:bookmarkEnd w:id="15"/>
    </w:p>
    <w:p>
      <w:pPr>
        <w:pStyle w:val="28"/>
        <w:widowControl/>
        <w:spacing w:before="100" w:after="100" w:line="560" w:lineRule="atLeast"/>
        <w:ind w:left="100" w:right="100" w:firstLine="0"/>
        <w:jc w:val="center"/>
        <w:rPr>
          <w:rFonts w:ascii="Times New Roman" w:hAnsi="Times New Roman" w:eastAsia="Times New Roman" w:cs="Times New Roman"/>
          <w:kern w:val="0"/>
          <w:sz w:val="24"/>
        </w:rPr>
      </w:pPr>
    </w:p>
    <w:p>
      <w:pPr>
        <w:sectPr>
          <w:footerReference r:id="rId17" w:type="default"/>
          <w:pgSz w:w="11906" w:h="16838"/>
          <w:pgMar w:top="1440" w:right="720" w:bottom="1440" w:left="720" w:header="720" w:footer="720" w:gutter="0"/>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pPr>
        <w:widowControl/>
        <w:spacing w:before="240" w:after="240"/>
        <w:jc w:val="left"/>
        <w:rPr>
          <w:rFonts w:ascii="Times New Roman" w:hAnsi="Times New Roman" w:eastAsia="Times New Roman" w:cs="Times New Roman"/>
          <w:kern w:val="0"/>
          <w:sz w:val="24"/>
        </w:rPr>
      </w:pPr>
    </w:p>
    <w:p>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6" w:name="_Toc256000067"/>
      <w:r>
        <w:rPr>
          <w:rFonts w:ascii="黑体" w:hAnsi="黑体" w:eastAsia="黑体" w:cs="黑体"/>
          <w:b w:val="0"/>
          <w:bCs w:val="0"/>
          <w:spacing w:val="0"/>
        </w:rPr>
        <w:t>一、收入支出决算总体情况说明</w:t>
      </w:r>
      <w:bookmarkEnd w:id="16"/>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（一）收入支出决算总体情况说明</w:t>
      </w:r>
    </w:p>
    <w:p>
      <w:pPr>
        <w:pStyle w:val="28"/>
        <w:widowControl/>
        <w:spacing w:before="100" w:after="100" w:line="560" w:lineRule="atLeast"/>
        <w:ind w:left="100" w:right="100" w:firstLine="640"/>
        <w:jc w:val="left"/>
        <w:rPr>
          <w:rFonts w:hint="eastAsia" w:ascii="Times New Roman" w:hAnsi="Times New Roman" w:eastAsia="FangSong_GB2312" w:cs="Times New Roman"/>
          <w:kern w:val="0"/>
          <w:sz w:val="24"/>
          <w:lang w:val="en-US" w:eastAsia="zh-CN"/>
        </w:rPr>
      </w:pPr>
      <w:r>
        <w:rPr>
          <w:rFonts w:ascii="FangSong_GB2312" w:hAnsi="FangSong_GB2312" w:eastAsia="FangSong_GB2312" w:cs="FangSong_GB2312"/>
          <w:spacing w:val="0"/>
          <w:kern w:val="0"/>
          <w:sz w:val="32"/>
          <w:szCs w:val="32"/>
        </w:rPr>
        <w:t>2025年度本单位收入总计1217.47万元，支出总计1217.47万元，与上年决算数相比，各增加185.86万元，</w:t>
      </w:r>
      <w:r>
        <w:rPr>
          <w:rFonts w:ascii="FangSong_GB2312" w:hAnsi="FangSong_GB2312" w:eastAsia="FangSong_GB2312" w:cs="FangSong_GB2312"/>
          <w:kern w:val="0"/>
          <w:sz w:val="32"/>
          <w:szCs w:val="32"/>
        </w:rPr>
        <w:t>增长</w:t>
      </w:r>
      <w:r>
        <w:rPr>
          <w:rFonts w:ascii="FangSong_GB2312" w:hAnsi="FangSong_GB2312" w:eastAsia="FangSong_GB2312" w:cs="FangSong_GB2312"/>
          <w:spacing w:val="0"/>
          <w:kern w:val="0"/>
          <w:sz w:val="32"/>
          <w:szCs w:val="32"/>
        </w:rPr>
        <w:t>18.02%。主要是</w:t>
      </w:r>
      <w:r>
        <w:rPr>
          <w:rFonts w:hint="eastAsia" w:ascii="FangSong_GB2312" w:hAnsi="FangSong_GB2312" w:eastAsia="FangSong_GB2312" w:cs="FangSong_GB2312"/>
          <w:spacing w:val="0"/>
          <w:kern w:val="0"/>
          <w:sz w:val="32"/>
          <w:szCs w:val="32"/>
          <w:lang w:eastAsia="zh-CN"/>
        </w:rPr>
        <w:t>实施机构改革，原文明办划转并入我单位，编制及实有人员随之增加，基本支出和项目支出相应增加。</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（二）收入决算情况说明</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2025年度收入1213.31万元，比上年决算数</w:t>
      </w:r>
      <w:r>
        <w:rPr>
          <w:rFonts w:ascii="FangSong_GB2312" w:hAnsi="FangSong_GB2312" w:eastAsia="FangSong_GB2312" w:cs="FangSong_GB2312"/>
          <w:kern w:val="0"/>
          <w:sz w:val="32"/>
          <w:szCs w:val="32"/>
        </w:rPr>
        <w:t>增加</w:t>
      </w:r>
      <w:r>
        <w:rPr>
          <w:rFonts w:ascii="FangSong_GB2312" w:hAnsi="FangSong_GB2312" w:eastAsia="FangSong_GB2312" w:cs="FangSong_GB2312"/>
          <w:spacing w:val="0"/>
          <w:kern w:val="0"/>
          <w:sz w:val="32"/>
          <w:szCs w:val="32"/>
        </w:rPr>
        <w:t>197.09万元</w:t>
      </w:r>
      <w:r>
        <w:rPr>
          <w:rFonts w:ascii="FangSong_GB2312" w:hAnsi="FangSong_GB2312" w:eastAsia="FangSong_GB2312" w:cs="FangSong_GB2312"/>
          <w:kern w:val="0"/>
          <w:sz w:val="32"/>
          <w:szCs w:val="32"/>
        </w:rPr>
        <w:t>，增长</w:t>
      </w:r>
      <w:r>
        <w:rPr>
          <w:rFonts w:ascii="FangSong_GB2312" w:hAnsi="FangSong_GB2312" w:eastAsia="FangSong_GB2312" w:cs="FangSong_GB2312"/>
          <w:spacing w:val="0"/>
          <w:kern w:val="0"/>
          <w:sz w:val="32"/>
          <w:szCs w:val="32"/>
        </w:rPr>
        <w:t>19.39%，具体情况如下：</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1.一般公共预算财政拨款收入1182.07万元。</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2.政府性基金预算财政拨款收入31.24万元。</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3.国有资本经营预算财政拨款收入0万元。</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4.上级补助收入0万元。</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5.事业收入0万元。</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6.经营收入0万元。</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7.附属单位上缴收入0万元。</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8.其他收入0万元。</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（三）支出决算情况说明</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2025年度支出1217.47万元，比上年决算数增加185.87万元，增长18.02%，具体情况如下：</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1.基本支出476.55万元。其中，人员支出420.01万元，公用支出56.54万元。</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2.项目支出740.92万元。</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3.上缴上级支出0万元。</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4.经营支出0万元。</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5.对附属单位补助支出0万元。</w:t>
      </w:r>
    </w:p>
    <w:p>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7" w:name="_Toc256000068"/>
      <w:r>
        <w:rPr>
          <w:rFonts w:ascii="黑体" w:hAnsi="黑体" w:eastAsia="黑体" w:cs="黑体"/>
          <w:b w:val="0"/>
          <w:bCs w:val="0"/>
          <w:spacing w:val="0"/>
        </w:rPr>
        <w:t>二、财政拨款收入支出决算总体情况说明</w:t>
      </w:r>
      <w:bookmarkEnd w:id="17"/>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2025年度财政拨款收入总计1213.31万元，支出总计1213.31万元，与上年决算数相比，各增加191.71万元，增长18.77%，主要是：</w:t>
      </w:r>
      <w:r>
        <w:rPr>
          <w:rFonts w:hint="eastAsia" w:ascii="FangSong_GB2312" w:hAnsi="FangSong_GB2312" w:eastAsia="FangSong_GB2312" w:cs="FangSong_GB2312"/>
          <w:spacing w:val="0"/>
          <w:kern w:val="0"/>
          <w:sz w:val="32"/>
          <w:szCs w:val="32"/>
          <w:lang w:eastAsia="zh-CN"/>
        </w:rPr>
        <w:t>实施机构改革，原文明办划转并入我单位，编制及实有人员随之增加，基本支出和项目支出相应增加。</w:t>
      </w:r>
    </w:p>
    <w:p>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8" w:name="_Toc256000069"/>
      <w:r>
        <w:rPr>
          <w:rFonts w:ascii="黑体" w:hAnsi="黑体" w:eastAsia="黑体" w:cs="黑体"/>
          <w:b w:val="0"/>
          <w:bCs w:val="0"/>
          <w:spacing w:val="0"/>
        </w:rPr>
        <w:t>三、一般公共预算财政拨款支出决算情况说明</w:t>
      </w:r>
      <w:bookmarkEnd w:id="18"/>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2025年度一般公共预算财政拨款支出1182.07万元，比上年决算数增加161.83万元，增长15.86%，具体情况如下(按</w:t>
      </w:r>
      <w:r>
        <w:rPr>
          <w:rStyle w:val="30"/>
          <w:rFonts w:ascii="FangSong_GB2312" w:hAnsi="FangSong_GB2312" w:eastAsia="FangSong_GB2312" w:cs="FangSong_GB2312"/>
          <w:spacing w:val="0"/>
          <w:kern w:val="0"/>
          <w:sz w:val="32"/>
          <w:szCs w:val="32"/>
        </w:rPr>
        <w:t>项级科目</w:t>
      </w:r>
      <w:r>
        <w:rPr>
          <w:rFonts w:ascii="FangSong_GB2312" w:hAnsi="FangSong_GB2312" w:eastAsia="FangSong_GB2312" w:cs="FangSong_GB2312"/>
          <w:spacing w:val="0"/>
          <w:kern w:val="0"/>
          <w:sz w:val="32"/>
          <w:szCs w:val="32"/>
        </w:rPr>
        <w:t>分类统计)：</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  （一）2013301 行政运行 268.35万元，较上年决算数增加56.92万元，增长26.92%。主要原因是</w:t>
      </w:r>
      <w:r>
        <w:rPr>
          <w:rFonts w:hint="eastAsia" w:ascii="FangSong_GB2312" w:hAnsi="FangSong_GB2312" w:eastAsia="FangSong_GB2312" w:cs="FangSong_GB2312"/>
          <w:spacing w:val="0"/>
          <w:kern w:val="0"/>
          <w:sz w:val="32"/>
          <w:szCs w:val="32"/>
          <w:lang w:eastAsia="zh-CN"/>
        </w:rPr>
        <w:t>原文明办划转并入我单位，行政编制及实有人员随之增加，支出相应增加。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  （二）2013350 事业运行 36.28万元，较上年决算数增加36.28万元。主要原因是</w:t>
      </w:r>
      <w:r>
        <w:rPr>
          <w:rFonts w:hint="eastAsia" w:ascii="FangSong_GB2312" w:hAnsi="FangSong_GB2312" w:eastAsia="FangSong_GB2312" w:cs="FangSong_GB2312"/>
          <w:spacing w:val="0"/>
          <w:kern w:val="0"/>
          <w:sz w:val="32"/>
          <w:szCs w:val="32"/>
          <w:lang w:eastAsia="zh-CN"/>
        </w:rPr>
        <w:t>原文明办下属事业单位一并划转至本单位，导致人员增加，支出增加。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  （三）2013399 其他宣传事务支出 617.89万元，较上年决算数增加78.02万元，增长14.45%。主要原因是</w:t>
      </w:r>
      <w:r>
        <w:rPr>
          <w:rFonts w:hint="eastAsia" w:ascii="FangSong_GB2312" w:hAnsi="FangSong_GB2312" w:eastAsia="FangSong_GB2312" w:cs="FangSong_GB2312"/>
          <w:spacing w:val="0"/>
          <w:kern w:val="0"/>
          <w:sz w:val="32"/>
          <w:szCs w:val="32"/>
          <w:lang w:eastAsia="zh-CN"/>
        </w:rPr>
        <w:t>原文明办划转并入我单位，编制及实有人员随之增加，基本支出和项目支出相应增加。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  （四）2070607 电影 47.04万元，较上年决算数减少21.37万元，下降31.24%。主要原因是</w:t>
      </w:r>
      <w:r>
        <w:rPr>
          <w:rFonts w:hint="eastAsia" w:ascii="FangSong_GB2312" w:hAnsi="FangSong_GB2312" w:eastAsia="FangSong_GB2312" w:cs="FangSong_GB2312"/>
          <w:spacing w:val="0"/>
          <w:kern w:val="0"/>
          <w:sz w:val="32"/>
          <w:szCs w:val="32"/>
          <w:lang w:eastAsia="zh-CN"/>
        </w:rPr>
        <w:t>规范支出科目核算，将原列入本科目的部分电影相关专项经费，调整至“其他文化旅游体育与传媒支出”科目列支，导致本科目决算数减少。</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  （五）2079999 其他文化旅游体育与传媒支出 70.21万元，较上年决算数增加60.21万元，增长602.06%。主要原因是</w:t>
      </w:r>
      <w:r>
        <w:rPr>
          <w:rFonts w:hint="eastAsia" w:ascii="FangSong_GB2312" w:hAnsi="FangSong_GB2312" w:eastAsia="FangSong_GB2312" w:cs="FangSong_GB2312"/>
          <w:spacing w:val="0"/>
          <w:kern w:val="0"/>
          <w:sz w:val="32"/>
          <w:szCs w:val="32"/>
          <w:lang w:eastAsia="zh-CN"/>
        </w:rPr>
        <w:t>根据实际支出内容细化科目，将部分原在“电影”等科目核算的项目资金调整至本科目列支，导致本科目决算数大幅增加。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  （六）2080501 行政单位离退休 32.24万元，较上年决算数增加10.00万元，增长44.96%。主要原因是</w:t>
      </w:r>
      <w:r>
        <w:rPr>
          <w:rFonts w:hint="eastAsia" w:ascii="FangSong_GB2312" w:hAnsi="FangSong_GB2312" w:eastAsia="FangSong_GB2312" w:cs="FangSong_GB2312"/>
          <w:spacing w:val="0"/>
          <w:kern w:val="0"/>
          <w:sz w:val="32"/>
          <w:szCs w:val="32"/>
          <w:lang w:eastAsia="zh-CN"/>
        </w:rPr>
        <w:t>原文明办划转并入我单位，退休人员也随之增加</w:t>
      </w:r>
      <w:r>
        <w:rPr>
          <w:rFonts w:hint="eastAsia" w:ascii="FangSong_GB2312" w:hAnsi="FangSong_GB2312" w:eastAsia="FangSong_GB2312" w:cs="FangSong_GB2312"/>
          <w:spacing w:val="0"/>
          <w:kern w:val="0"/>
          <w:sz w:val="32"/>
          <w:szCs w:val="32"/>
          <w:lang w:val="en-US" w:eastAsia="zh-CN"/>
        </w:rPr>
        <w:t>2名。</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  （七）2080505 机关事业单位基本养老保险缴费支出 33.45万元，较上年决算数增加10.86万元，增长48.06%。主要原因是</w:t>
      </w:r>
      <w:r>
        <w:rPr>
          <w:rFonts w:hint="eastAsia" w:ascii="FangSong_GB2312" w:hAnsi="FangSong_GB2312" w:eastAsia="FangSong_GB2312" w:cs="FangSong_GB2312"/>
          <w:spacing w:val="0"/>
          <w:kern w:val="0"/>
          <w:sz w:val="32"/>
          <w:szCs w:val="32"/>
          <w:lang w:eastAsia="zh-CN"/>
        </w:rPr>
        <w:t>实施机构改革，原文明办划转并入我单位，编制及实有人员随之增加，人员经费支出相应增加。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  （八）2080506 机关事业单位职业年金缴费支出 16.70万元，较上年决算数增加5.41万元，增长47.94%。主要原因是</w:t>
      </w:r>
      <w:r>
        <w:rPr>
          <w:rFonts w:hint="eastAsia" w:ascii="FangSong_GB2312" w:hAnsi="FangSong_GB2312" w:eastAsia="FangSong_GB2312" w:cs="FangSong_GB2312"/>
          <w:spacing w:val="0"/>
          <w:kern w:val="0"/>
          <w:sz w:val="32"/>
          <w:szCs w:val="32"/>
          <w:lang w:eastAsia="zh-CN"/>
        </w:rPr>
        <w:t>实施机构改革，原文明办划转并入我单位，编制及实有人员随之增加，人员经费支出相应增加。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  （九）2089999 其他社会保障和就业支出 5.00万元，较上年决算数增加5.00万元。主要原因是</w:t>
      </w:r>
      <w:r>
        <w:rPr>
          <w:rFonts w:hint="eastAsia" w:ascii="FangSong_GB2312" w:hAnsi="FangSong_GB2312" w:eastAsia="FangSong_GB2312" w:cs="FangSong_GB2312"/>
          <w:spacing w:val="0"/>
          <w:kern w:val="0"/>
          <w:sz w:val="32"/>
          <w:szCs w:val="32"/>
          <w:lang w:eastAsia="zh-CN"/>
        </w:rPr>
        <w:t>实施机构改革，原文明办划转并入我单位，编制及实有人员随之增加，人员经费支出相应增加。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  （十）2101101 行政单位医疗 10.39万元，较上年决算数增加2.71万元，增长35.31%。主要原因是</w:t>
      </w:r>
      <w:r>
        <w:rPr>
          <w:rFonts w:hint="eastAsia" w:ascii="FangSong_GB2312" w:hAnsi="FangSong_GB2312" w:eastAsia="FangSong_GB2312" w:cs="FangSong_GB2312"/>
          <w:spacing w:val="0"/>
          <w:kern w:val="0"/>
          <w:sz w:val="32"/>
          <w:szCs w:val="32"/>
          <w:lang w:eastAsia="zh-CN"/>
        </w:rPr>
        <w:t>实施机构改革，原文明办划转并入我单位，编制及实有人员随之增加，人员经费支出相应增加。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  （十一）2101102 事业单位医疗 1.38万元，较上年决算数增加1.38万元。主要原因是</w:t>
      </w:r>
      <w:r>
        <w:rPr>
          <w:rFonts w:hint="eastAsia" w:ascii="FangSong_GB2312" w:hAnsi="FangSong_GB2312" w:eastAsia="FangSong_GB2312" w:cs="FangSong_GB2312"/>
          <w:spacing w:val="0"/>
          <w:kern w:val="0"/>
          <w:sz w:val="32"/>
          <w:szCs w:val="32"/>
          <w:lang w:eastAsia="zh-CN"/>
        </w:rPr>
        <w:t>原文明办下属事业单位一并划转至本单位，导致人员增加，支出增加。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  （十二）2101103 公务员医疗补助 8.37万元，较上年决算数增加2.32万元，增长38.34%。主要原因是</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  （十三）2130599 其他巩固脱贫攻坚成果衔接乡村振兴支出 1.24万元，较上年决算数增加1.24万元。主要原因是</w:t>
      </w:r>
      <w:r>
        <w:rPr>
          <w:rFonts w:hint="eastAsia" w:ascii="FangSong_GB2312" w:hAnsi="FangSong_GB2312" w:eastAsia="FangSong_GB2312" w:cs="FangSong_GB2312"/>
          <w:spacing w:val="0"/>
          <w:kern w:val="0"/>
          <w:sz w:val="32"/>
          <w:szCs w:val="32"/>
          <w:lang w:eastAsia="zh-CN"/>
        </w:rPr>
        <w:t>原文明办划转并入我单位，编制及实有人员随之增加，人员经费支出相应增加。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  （十四）2210201 住房公积金 28.27万元，较上年决算数增加11.33万元，增长66.88%。主要原因是</w:t>
      </w:r>
      <w:r>
        <w:rPr>
          <w:rFonts w:hint="eastAsia" w:ascii="FangSong_GB2312" w:hAnsi="FangSong_GB2312" w:eastAsia="FangSong_GB2312" w:cs="FangSong_GB2312"/>
          <w:spacing w:val="0"/>
          <w:kern w:val="0"/>
          <w:sz w:val="32"/>
          <w:szCs w:val="32"/>
          <w:lang w:eastAsia="zh-CN"/>
        </w:rPr>
        <w:t>原文明办划转并入我单位，编制及实有人员随之增加，人员经费支出相应增加。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  （十五）2210202 提租补贴 5.27万元，较上年决算数增加1.07万元，增长25.46%。主要原因是</w:t>
      </w:r>
      <w:r>
        <w:rPr>
          <w:rFonts w:hint="eastAsia" w:ascii="FangSong_GB2312" w:hAnsi="FangSong_GB2312" w:eastAsia="FangSong_GB2312" w:cs="FangSong_GB2312"/>
          <w:spacing w:val="0"/>
          <w:kern w:val="0"/>
          <w:sz w:val="32"/>
          <w:szCs w:val="32"/>
          <w:lang w:eastAsia="zh-CN"/>
        </w:rPr>
        <w:t>原文明办划转并入我单位，编制及实有人员随之增加，人员经费支出相应增加。</w:t>
      </w:r>
    </w:p>
    <w:p>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9" w:name="_Toc256000070"/>
      <w:r>
        <w:rPr>
          <w:rFonts w:ascii="黑体" w:hAnsi="黑体" w:eastAsia="黑体" w:cs="黑体"/>
          <w:b w:val="0"/>
          <w:bCs w:val="0"/>
          <w:spacing w:val="0"/>
        </w:rPr>
        <w:t>四、政府性基金预算财政拨款支出决算情况说明</w:t>
      </w:r>
      <w:bookmarkEnd w:id="19"/>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2025年度政府性基金预算财政拨款支出31.24万元，比上年决算数增加29.88万元，增长2197.06%，具体情况如下(按项级科目统计)：</w:t>
      </w:r>
    </w:p>
    <w:p>
      <w:pPr>
        <w:pStyle w:val="28"/>
        <w:widowControl/>
        <w:spacing w:before="100" w:after="100" w:line="560" w:lineRule="atLeast"/>
        <w:ind w:left="100" w:right="100" w:firstLine="0"/>
        <w:jc w:val="left"/>
        <w:rPr>
          <w:rFonts w:hint="eastAsia" w:ascii="Times New Roman" w:hAnsi="Times New Roman" w:eastAsia="FangSong_GB2312" w:cs="Times New Roman"/>
          <w:kern w:val="0"/>
          <w:sz w:val="24"/>
          <w:lang w:eastAsia="zh-CN"/>
        </w:rPr>
      </w:pPr>
      <w:r>
        <w:rPr>
          <w:rFonts w:ascii="FangSong_GB2312" w:hAnsi="FangSong_GB2312" w:eastAsia="FangSong_GB2312" w:cs="FangSong_GB2312"/>
          <w:spacing w:val="0"/>
          <w:kern w:val="0"/>
          <w:sz w:val="32"/>
          <w:szCs w:val="32"/>
        </w:rPr>
        <w:t>  （一）2070799 其他国家电影事业发展专项资金支出 31.24万元，较上年决算数增加29.88万元，增长2197.06%。主要原因是</w:t>
      </w:r>
      <w:r>
        <w:rPr>
          <w:rFonts w:hint="eastAsia" w:ascii="FangSong_GB2312" w:hAnsi="FangSong_GB2312" w:eastAsia="FangSong_GB2312" w:cs="FangSong_GB2312"/>
          <w:spacing w:val="0"/>
          <w:kern w:val="0"/>
          <w:sz w:val="32"/>
          <w:szCs w:val="32"/>
          <w:lang w:eastAsia="zh-CN"/>
        </w:rPr>
        <w:t>新增</w:t>
      </w:r>
      <w:r>
        <w:rPr>
          <w:rFonts w:ascii="FangSong_GB2312" w:hAnsi="FangSong_GB2312" w:eastAsia="FangSong_GB2312" w:cs="FangSong_GB2312"/>
          <w:spacing w:val="0"/>
          <w:kern w:val="0"/>
          <w:sz w:val="32"/>
          <w:szCs w:val="32"/>
        </w:rPr>
        <w:t>2025年国家电影事业发展专项补助资金</w:t>
      </w:r>
      <w:r>
        <w:rPr>
          <w:rFonts w:hint="eastAsia" w:ascii="FangSong_GB2312" w:hAnsi="FangSong_GB2312" w:eastAsia="FangSong_GB2312" w:cs="FangSong_GB2312"/>
          <w:spacing w:val="0"/>
          <w:kern w:val="0"/>
          <w:sz w:val="32"/>
          <w:szCs w:val="32"/>
          <w:lang w:eastAsia="zh-CN"/>
        </w:rPr>
        <w:t>影院建设补助经费。</w:t>
      </w:r>
    </w:p>
    <w:p>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0" w:name="_Toc256000071"/>
      <w:r>
        <w:rPr>
          <w:rFonts w:ascii="黑体" w:hAnsi="黑体" w:eastAsia="黑体" w:cs="黑体"/>
          <w:b w:val="0"/>
          <w:bCs w:val="0"/>
          <w:spacing w:val="0"/>
        </w:rPr>
        <w:t>五、国有资本经营预算财政拨款支出决算情况说明</w:t>
      </w:r>
      <w:bookmarkEnd w:id="20"/>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本单位2025年度没有使用国有资本经营预算财政拨款安排的支出。</w:t>
      </w:r>
    </w:p>
    <w:p>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1" w:name="_Toc256000072"/>
      <w:r>
        <w:rPr>
          <w:rFonts w:ascii="黑体" w:hAnsi="黑体" w:eastAsia="黑体" w:cs="黑体"/>
          <w:b w:val="0"/>
          <w:bCs w:val="0"/>
          <w:spacing w:val="0"/>
        </w:rPr>
        <w:t>六、一般公共预算财政拨款基本支出决算情况说明</w:t>
      </w:r>
      <w:bookmarkEnd w:id="21"/>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2025年度一般公共预算财政拨款基本支出476.55万元，其中：</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（一）人员经费420.01万元，主要包括：</w:t>
      </w:r>
      <w:r>
        <w:rPr>
          <w:rFonts w:ascii="FangSong_GB2312" w:hAnsi="FangSong_GB2312" w:eastAsia="FangSong_GB2312" w:cs="FangSong_GB2312"/>
          <w:kern w:val="0"/>
          <w:sz w:val="32"/>
          <w:szCs w:val="32"/>
        </w:rPr>
        <w:t>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（二）公用经费56.54万元，主要包括：</w:t>
      </w:r>
      <w:r>
        <w:rPr>
          <w:rFonts w:ascii="FangSong_GB2312" w:hAnsi="FangSong_GB2312" w:eastAsia="FangSong_GB2312" w:cs="FangSong_GB2312"/>
          <w:kern w:val="0"/>
          <w:sz w:val="32"/>
          <w:szCs w:val="32"/>
        </w:rPr>
        <w:t>办公费、印刷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2" w:name="_Toc256000073"/>
      <w:r>
        <w:rPr>
          <w:rFonts w:ascii="黑体" w:hAnsi="黑体" w:eastAsia="黑体" w:cs="黑体"/>
          <w:b w:val="0"/>
          <w:bCs w:val="0"/>
          <w:spacing w:val="0"/>
        </w:rPr>
        <w:t>七、一般公共预算财政拨款“三公”经费支出决算情况说明</w:t>
      </w:r>
      <w:bookmarkEnd w:id="22"/>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2025年度一般公共预算财政拨款“三公”经费支出1.33万元，完成全年预算的66.37%；较上年减少0.12万元，下降8.27%。主要原因是</w:t>
      </w:r>
      <w:r>
        <w:rPr>
          <w:rFonts w:hint="eastAsia" w:ascii="FangSong_GB2312" w:hAnsi="FangSong_GB2312" w:eastAsia="FangSong_GB2312" w:cs="FangSong_GB2312"/>
          <w:spacing w:val="0"/>
          <w:kern w:val="0"/>
          <w:sz w:val="32"/>
          <w:szCs w:val="32"/>
          <w:lang w:eastAsia="zh-CN"/>
        </w:rPr>
        <w:t>严格落实“过紧日子”要求，坚持厉行节约，进一步规范公务接待管理，严格控制公务接待批次和人数，从而压减了公务接待费支出</w:t>
      </w:r>
      <w:r>
        <w:rPr>
          <w:rFonts w:ascii="FangSong_GB2312" w:hAnsi="FangSong_GB2312" w:eastAsia="FangSong_GB2312" w:cs="FangSong_GB2312"/>
          <w:kern w:val="0"/>
          <w:sz w:val="32"/>
          <w:szCs w:val="32"/>
        </w:rPr>
        <w:t>。</w:t>
      </w:r>
      <w:r>
        <w:rPr>
          <w:rFonts w:ascii="FangSong_GB2312" w:hAnsi="FangSong_GB2312" w:eastAsia="FangSong_GB2312" w:cs="FangSong_GB2312"/>
          <w:spacing w:val="0"/>
          <w:kern w:val="0"/>
          <w:sz w:val="32"/>
          <w:szCs w:val="32"/>
        </w:rPr>
        <w:t>具体情况如下：</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（一）因公出国（境）费用支出 0万元，与全年预算数持平，与上年决算数持平。全年安排本单位组织的出国团组0个，参加其他单位出国团组个；全年因公出国（境）累计0 人次。</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（二）公务用车购置及运行费支出0万元，与全年预算数持平，与上年决算数持平。</w:t>
      </w:r>
      <w:r>
        <w:rPr>
          <w:rFonts w:ascii="FangSong_GB2312" w:hAnsi="FangSong_GB2312" w:eastAsia="FangSong_GB2312" w:cs="FangSong_GB2312"/>
          <w:kern w:val="0"/>
          <w:sz w:val="32"/>
          <w:szCs w:val="32"/>
        </w:rPr>
        <w:t>其中：</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公务用车购置费支出0万元，与全年预算数持平，</w:t>
      </w:r>
      <w:r>
        <w:rPr>
          <w:rFonts w:ascii="FangSong_GB2312" w:hAnsi="FangSong_GB2312" w:eastAsia="FangSong_GB2312" w:cs="FangSong_GB2312"/>
          <w:kern w:val="0"/>
          <w:sz w:val="32"/>
          <w:szCs w:val="32"/>
        </w:rPr>
        <w:t>与上年决算数持平。2025年公务用车购置0辆。</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公务用车运行费支出0万元，与全年预算数持平，与上年决算数持平。截至2025年12月31日，本单位公务用车保有量为0辆。</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（三）公务接待费支出1.33万元，完成全年预算的 66.37%；较上年减少0.12万元，下降8.27%。主要是。累计接待9.00批次、105.00人次。</w:t>
      </w:r>
    </w:p>
    <w:p>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3" w:name="_Toc256000074"/>
      <w:r>
        <w:rPr>
          <w:rFonts w:ascii="黑体" w:hAnsi="黑体" w:eastAsia="黑体" w:cs="黑体"/>
          <w:b w:val="0"/>
          <w:bCs w:val="0"/>
          <w:spacing w:val="0"/>
        </w:rPr>
        <w:t>八、预算绩效情况说明</w:t>
      </w:r>
      <w:bookmarkEnd w:id="23"/>
    </w:p>
    <w:p>
      <w:pPr>
        <w:pStyle w:val="28"/>
        <w:widowControl/>
        <w:spacing w:before="100" w:after="100" w:line="560" w:lineRule="atLeast"/>
        <w:ind w:left="100" w:right="100" w:firstLine="640"/>
        <w:jc w:val="left"/>
        <w:rPr>
          <w:rFonts w:hint="eastAsia" w:ascii="Times New Roman" w:hAnsi="Times New Roman" w:eastAsia="FangSong_GB2312" w:cs="Times New Roman"/>
          <w:kern w:val="0"/>
          <w:sz w:val="24"/>
          <w:lang w:val="en-US" w:eastAsia="zh-CN"/>
        </w:rPr>
      </w:pPr>
      <w:r>
        <w:rPr>
          <w:rFonts w:ascii="FangSong_GB2312" w:hAnsi="FangSong_GB2312" w:eastAsia="FangSong_GB2312" w:cs="FangSong_GB2312"/>
          <w:spacing w:val="0"/>
          <w:kern w:val="0"/>
          <w:sz w:val="32"/>
          <w:szCs w:val="32"/>
        </w:rPr>
        <w:t>根据全面实施预算绩效管理要求，本单位组织对2025年度</w:t>
      </w:r>
      <w:r>
        <w:rPr>
          <w:rFonts w:hint="eastAsia" w:ascii="FangSong_GB2312" w:hAnsi="FangSong_GB2312" w:eastAsia="FangSong_GB2312" w:cs="FangSong_GB2312"/>
          <w:spacing w:val="0"/>
          <w:kern w:val="0"/>
          <w:sz w:val="32"/>
          <w:szCs w:val="32"/>
          <w:lang w:val="en-US" w:eastAsia="zh-CN"/>
        </w:rPr>
        <w:t>11</w:t>
      </w:r>
      <w:r>
        <w:rPr>
          <w:rFonts w:ascii="FangSong_GB2312" w:hAnsi="FangSong_GB2312" w:eastAsia="FangSong_GB2312" w:cs="FangSong_GB2312"/>
          <w:spacing w:val="0"/>
          <w:kern w:val="0"/>
          <w:sz w:val="32"/>
          <w:szCs w:val="32"/>
        </w:rPr>
        <w:t>个项目实施单位自评。</w:t>
      </w:r>
      <w:r>
        <w:rPr>
          <w:rFonts w:hint="eastAsia" w:ascii="FangSong_GB2312" w:hAnsi="FangSong_GB2312" w:eastAsia="FangSong_GB2312" w:cs="FangSong_GB2312"/>
          <w:spacing w:val="0"/>
          <w:kern w:val="0"/>
          <w:sz w:val="32"/>
          <w:szCs w:val="32"/>
          <w:lang w:eastAsia="zh-CN"/>
        </w:rPr>
        <w:t>涉及资金</w:t>
      </w:r>
      <w:r>
        <w:rPr>
          <w:rFonts w:hint="eastAsia" w:ascii="FangSong_GB2312" w:hAnsi="FangSong_GB2312" w:eastAsia="FangSong_GB2312" w:cs="FangSong_GB2312"/>
          <w:spacing w:val="0"/>
          <w:kern w:val="0"/>
          <w:sz w:val="32"/>
          <w:szCs w:val="32"/>
          <w:lang w:val="en-US" w:eastAsia="zh-CN"/>
        </w:rPr>
        <w:t>169.72万元，从评价效果看，自评结果“优”的项目为10个，自评结果“良”的项目为1个。各项目绩效目标设定合理，执行情况良好，达到预期效果。</w:t>
      </w:r>
    </w:p>
    <w:p>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4" w:name="_Toc256000075"/>
      <w:r>
        <w:rPr>
          <w:rFonts w:ascii="黑体" w:hAnsi="黑体" w:eastAsia="黑体" w:cs="黑体"/>
          <w:b w:val="0"/>
          <w:bCs w:val="0"/>
          <w:spacing w:val="0"/>
        </w:rPr>
        <w:t>九、其他重要事项说明</w:t>
      </w:r>
      <w:bookmarkEnd w:id="24"/>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（一）机关运行经费</w:t>
      </w:r>
      <w:r>
        <w:rPr>
          <w:rFonts w:ascii="楷体_GB2312" w:hAnsi="楷体_GB2312" w:eastAsia="楷体_GB2312" w:cs="楷体_GB2312"/>
          <w:spacing w:val="0"/>
          <w:kern w:val="0"/>
          <w:sz w:val="32"/>
          <w:szCs w:val="32"/>
        </w:rPr>
        <w:t> </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2025年度机关运行经费支出56.54万元，比上年决算数增加23.67万元，增长72.00%，主要原因是:</w:t>
      </w:r>
      <w:r>
        <w:rPr>
          <w:rFonts w:hint="eastAsia" w:ascii="FangSong_GB2312" w:hAnsi="FangSong_GB2312" w:eastAsia="FangSong_GB2312" w:cs="FangSong_GB2312"/>
          <w:spacing w:val="0"/>
          <w:kern w:val="0"/>
          <w:sz w:val="32"/>
          <w:szCs w:val="32"/>
          <w:lang w:eastAsia="zh-CN"/>
        </w:rPr>
        <w:t>原文明办划转并入我单位，编制及实有人员随之增加，人员经费支出相应增加。</w:t>
      </w:r>
      <w:r>
        <w:rPr>
          <w:rFonts w:ascii="FangSong_GB2312" w:hAnsi="FangSong_GB2312" w:eastAsia="FangSong_GB2312" w:cs="FangSong_GB2312"/>
          <w:spacing w:val="0"/>
          <w:kern w:val="0"/>
          <w:sz w:val="32"/>
          <w:szCs w:val="32"/>
        </w:rPr>
        <w:t xml:space="preserve"> </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（二）政府采购情况</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本单位2025年度政府采购支出总额0.99万元，其中：政府采购货物支出0.99万元、政府采购工程支出0万元、政府采购服务支出0万元。授予中小企业合同金额0.99万元，占政府采购支出总额的100.00%，其中：授予小微企业合同金额0.99万元，占授予中小企业合同金额的100.00%；货物采购授予中小企业合同金额占货物支出金额的</w:t>
      </w:r>
      <w:r>
        <w:rPr>
          <w:rFonts w:hint="eastAsia" w:ascii="FangSong_GB2312" w:hAnsi="FangSong_GB2312" w:eastAsia="FangSong_GB2312" w:cs="FangSong_GB2312"/>
          <w:spacing w:val="0"/>
          <w:kern w:val="0"/>
          <w:sz w:val="32"/>
          <w:szCs w:val="32"/>
          <w:lang w:val="en-US" w:eastAsia="zh-CN"/>
        </w:rPr>
        <w:t>0</w:t>
      </w:r>
      <w:r>
        <w:rPr>
          <w:rFonts w:ascii="FangSong_GB2312" w:hAnsi="FangSong_GB2312" w:eastAsia="FangSong_GB2312" w:cs="FangSong_GB2312"/>
          <w:spacing w:val="0"/>
          <w:kern w:val="0"/>
          <w:sz w:val="32"/>
          <w:szCs w:val="32"/>
        </w:rPr>
        <w:t>%，工程采购授予中小企业合同金额占工程支出金额的</w:t>
      </w:r>
      <w:r>
        <w:rPr>
          <w:rFonts w:hint="eastAsia" w:ascii="FangSong_GB2312" w:hAnsi="FangSong_GB2312" w:eastAsia="FangSong_GB2312" w:cs="FangSong_GB2312"/>
          <w:spacing w:val="0"/>
          <w:kern w:val="0"/>
          <w:sz w:val="32"/>
          <w:szCs w:val="32"/>
          <w:lang w:val="en-US" w:eastAsia="zh-CN"/>
        </w:rPr>
        <w:t>0</w:t>
      </w:r>
      <w:r>
        <w:rPr>
          <w:rFonts w:ascii="FangSong_GB2312" w:hAnsi="FangSong_GB2312" w:eastAsia="FangSong_GB2312" w:cs="FangSong_GB2312"/>
          <w:spacing w:val="0"/>
          <w:kern w:val="0"/>
          <w:sz w:val="32"/>
          <w:szCs w:val="32"/>
        </w:rPr>
        <w:t>%，服务采购授予中小企业合同金额占服务支出金额的</w:t>
      </w:r>
      <w:r>
        <w:rPr>
          <w:rFonts w:hint="eastAsia" w:ascii="FangSong_GB2312" w:hAnsi="FangSong_GB2312" w:eastAsia="FangSong_GB2312" w:cs="FangSong_GB2312"/>
          <w:spacing w:val="0"/>
          <w:kern w:val="0"/>
          <w:sz w:val="32"/>
          <w:szCs w:val="32"/>
          <w:lang w:val="en-US" w:eastAsia="zh-CN"/>
        </w:rPr>
        <w:t>0</w:t>
      </w:r>
      <w:r>
        <w:rPr>
          <w:rFonts w:ascii="FangSong_GB2312" w:hAnsi="FangSong_GB2312" w:eastAsia="FangSong_GB2312" w:cs="FangSong_GB2312"/>
          <w:kern w:val="0"/>
          <w:sz w:val="32"/>
          <w:szCs w:val="32"/>
        </w:rPr>
        <w:t>%。</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（三）国有资产占用使用情况</w:t>
      </w:r>
      <w:r>
        <w:rPr>
          <w:rFonts w:ascii="楷体_GB2312" w:hAnsi="楷体_GB2312" w:eastAsia="楷体_GB2312" w:cs="楷体_GB2312"/>
          <w:spacing w:val="0"/>
          <w:kern w:val="0"/>
          <w:sz w:val="32"/>
          <w:szCs w:val="32"/>
        </w:rPr>
        <w:t> </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截至2025年12月31日，本单位共有车辆0 辆，其中：副部（省）级以上领导用车0 辆、主要负责人用车0 辆、机要通信用车0辆、应急保障用车0辆、执法执勤用车0辆、特种专业技术用车0辆、离退休干部服务用车0辆、其他用车0辆，其他用车主要是；单价100万元（含）以上设备（不含车辆）0台（套）。  </w:t>
      </w:r>
      <w:r>
        <w:rPr>
          <w:rFonts w:ascii="宋体" w:hAnsi="宋体" w:eastAsia="宋体" w:cs="宋体"/>
          <w:spacing w:val="0"/>
          <w:kern w:val="0"/>
          <w:sz w:val="56"/>
          <w:szCs w:val="56"/>
        </w:rPr>
        <w:t xml:space="preserve"> </w:t>
      </w:r>
    </w:p>
    <w:p>
      <w:pPr>
        <w:sectPr>
          <w:footerReference r:id="rId18" w:type="default"/>
          <w:pgSz w:w="11906" w:h="16838"/>
          <w:pgMar w:top="1440" w:right="720" w:bottom="1440" w:left="720" w:header="720" w:footer="720" w:gutter="0"/>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pPr>
        <w:widowControl/>
        <w:spacing w:before="240" w:after="240"/>
        <w:jc w:val="left"/>
        <w:rPr>
          <w:rFonts w:ascii="Times New Roman" w:hAnsi="Times New Roman" w:eastAsia="Times New Roman" w:cs="Times New Roman"/>
          <w:kern w:val="0"/>
          <w:sz w:val="24"/>
        </w:rPr>
      </w:pPr>
    </w:p>
    <w:p>
      <w:pPr>
        <w:pStyle w:val="28"/>
        <w:widowControl/>
        <w:spacing w:before="100" w:after="100"/>
        <w:ind w:left="100" w:right="100" w:firstLine="640"/>
        <w:jc w:val="left"/>
        <w:rPr>
          <w:rFonts w:ascii="Times New Roman" w:hAnsi="Times New Roman" w:eastAsia="Times New Roman" w:cs="Times New Roman"/>
          <w:kern w:val="0"/>
          <w:sz w:val="24"/>
        </w:rPr>
      </w:pPr>
    </w:p>
    <w:p>
      <w:pPr>
        <w:pStyle w:val="28"/>
        <w:widowControl/>
        <w:spacing w:before="100" w:after="100"/>
        <w:ind w:left="100" w:right="100" w:firstLine="640"/>
        <w:jc w:val="left"/>
        <w:rPr>
          <w:rFonts w:ascii="Times New Roman" w:hAnsi="Times New Roman" w:eastAsia="Times New Roman" w:cs="Times New Roman"/>
          <w:kern w:val="0"/>
          <w:sz w:val="24"/>
        </w:rPr>
      </w:pPr>
    </w:p>
    <w:p>
      <w:pPr>
        <w:pStyle w:val="28"/>
        <w:widowControl/>
        <w:spacing w:before="100" w:after="100"/>
        <w:ind w:left="100" w:right="100" w:firstLine="640"/>
        <w:jc w:val="left"/>
        <w:rPr>
          <w:rFonts w:ascii="Times New Roman" w:hAnsi="Times New Roman" w:eastAsia="Times New Roman" w:cs="Times New Roman"/>
          <w:kern w:val="0"/>
          <w:sz w:val="24"/>
        </w:rPr>
      </w:pPr>
    </w:p>
    <w:p>
      <w:pPr>
        <w:pStyle w:val="28"/>
        <w:widowControl/>
        <w:spacing w:before="100" w:after="100"/>
        <w:ind w:left="100" w:right="100" w:firstLine="640"/>
        <w:jc w:val="left"/>
        <w:rPr>
          <w:rFonts w:ascii="Times New Roman" w:hAnsi="Times New Roman" w:eastAsia="Times New Roman" w:cs="Times New Roman"/>
          <w:kern w:val="0"/>
          <w:sz w:val="24"/>
        </w:rPr>
      </w:pPr>
    </w:p>
    <w:p>
      <w:pPr>
        <w:pStyle w:val="28"/>
        <w:widowControl/>
        <w:spacing w:before="100" w:after="100"/>
        <w:ind w:left="100" w:right="100" w:firstLine="640"/>
        <w:jc w:val="left"/>
        <w:rPr>
          <w:rFonts w:ascii="Times New Roman" w:hAnsi="Times New Roman" w:eastAsia="Times New Roman" w:cs="Times New Roman"/>
          <w:kern w:val="0"/>
          <w:sz w:val="24"/>
        </w:rPr>
      </w:pPr>
    </w:p>
    <w:p>
      <w:pPr>
        <w:pStyle w:val="28"/>
        <w:widowControl/>
        <w:spacing w:before="100" w:after="100"/>
        <w:ind w:left="100" w:right="100" w:firstLine="640"/>
        <w:jc w:val="left"/>
        <w:rPr>
          <w:rFonts w:ascii="Times New Roman" w:hAnsi="Times New Roman" w:eastAsia="Times New Roman" w:cs="Times New Roman"/>
          <w:kern w:val="0"/>
          <w:sz w:val="24"/>
        </w:rPr>
      </w:pPr>
    </w:p>
    <w:p>
      <w:pPr>
        <w:pStyle w:val="28"/>
        <w:widowControl/>
        <w:spacing w:before="100" w:after="100"/>
        <w:ind w:left="100" w:right="100" w:firstLine="640"/>
        <w:jc w:val="left"/>
        <w:rPr>
          <w:rFonts w:ascii="Times New Roman" w:hAnsi="Times New Roman" w:eastAsia="Times New Roman" w:cs="Times New Roman"/>
          <w:kern w:val="0"/>
          <w:sz w:val="24"/>
        </w:rPr>
      </w:pPr>
    </w:p>
    <w:p>
      <w:pPr>
        <w:pStyle w:val="28"/>
        <w:widowControl/>
        <w:spacing w:before="100" w:after="100"/>
        <w:ind w:left="100" w:right="100" w:firstLine="640"/>
        <w:jc w:val="left"/>
        <w:rPr>
          <w:rFonts w:ascii="Times New Roman" w:hAnsi="Times New Roman" w:eastAsia="Times New Roman" w:cs="Times New Roman"/>
          <w:kern w:val="0"/>
          <w:sz w:val="24"/>
        </w:rPr>
      </w:pPr>
    </w:p>
    <w:p>
      <w:pPr>
        <w:pStyle w:val="28"/>
        <w:widowControl/>
        <w:spacing w:before="100" w:after="100"/>
        <w:ind w:left="100" w:right="100" w:firstLine="640"/>
        <w:jc w:val="left"/>
        <w:rPr>
          <w:rFonts w:ascii="Times New Roman" w:hAnsi="Times New Roman" w:eastAsia="Times New Roman" w:cs="Times New Roman"/>
          <w:kern w:val="0"/>
          <w:sz w:val="24"/>
        </w:rPr>
      </w:pPr>
    </w:p>
    <w:p>
      <w:pPr>
        <w:pStyle w:val="28"/>
        <w:widowControl/>
        <w:spacing w:before="100" w:after="100"/>
        <w:ind w:left="100" w:right="100" w:firstLine="640"/>
        <w:jc w:val="left"/>
        <w:rPr>
          <w:rFonts w:ascii="Times New Roman" w:hAnsi="Times New Roman" w:eastAsia="Times New Roman" w:cs="Times New Roman"/>
          <w:kern w:val="0"/>
          <w:sz w:val="24"/>
        </w:rPr>
      </w:pPr>
    </w:p>
    <w:p>
      <w:pPr>
        <w:pStyle w:val="28"/>
        <w:widowControl/>
        <w:spacing w:before="100" w:after="100"/>
        <w:ind w:left="100" w:right="100" w:firstLine="640"/>
        <w:jc w:val="left"/>
        <w:rPr>
          <w:rFonts w:ascii="Times New Roman" w:hAnsi="Times New Roman" w:eastAsia="Times New Roman" w:cs="Times New Roman"/>
          <w:kern w:val="0"/>
          <w:sz w:val="24"/>
        </w:rPr>
      </w:pPr>
    </w:p>
    <w:p>
      <w:pPr>
        <w:pStyle w:val="28"/>
        <w:widowControl/>
        <w:spacing w:before="100" w:after="100"/>
        <w:ind w:left="100" w:right="100" w:firstLine="640"/>
        <w:jc w:val="left"/>
        <w:rPr>
          <w:rFonts w:ascii="Times New Roman" w:hAnsi="Times New Roman" w:eastAsia="Times New Roman" w:cs="Times New Roman"/>
          <w:kern w:val="0"/>
          <w:sz w:val="24"/>
        </w:rPr>
      </w:pPr>
    </w:p>
    <w:p>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25" w:name="_Toc256000076"/>
      <w:r>
        <w:rPr>
          <w:rFonts w:ascii="黑体" w:hAnsi="黑体" w:eastAsia="黑体" w:cs="黑体"/>
          <w:b w:val="0"/>
          <w:bCs w:val="0"/>
          <w:spacing w:val="0"/>
          <w:sz w:val="56"/>
          <w:szCs w:val="56"/>
        </w:rPr>
        <w:t>第四部分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名词解释</w:t>
      </w:r>
      <w:bookmarkEnd w:id="25"/>
    </w:p>
    <w:p>
      <w:pPr>
        <w:pStyle w:val="28"/>
        <w:widowControl/>
        <w:spacing w:before="100" w:after="100"/>
        <w:ind w:left="100" w:right="100" w:firstLine="0"/>
        <w:jc w:val="center"/>
        <w:rPr>
          <w:rFonts w:ascii="Times New Roman" w:hAnsi="Times New Roman" w:eastAsia="Times New Roman" w:cs="Times New Roman"/>
          <w:kern w:val="0"/>
          <w:sz w:val="24"/>
        </w:rPr>
      </w:pPr>
    </w:p>
    <w:p>
      <w:pPr>
        <w:sectPr>
          <w:footerReference r:id="rId19" w:type="default"/>
          <w:pgSz w:w="11906" w:h="16838"/>
          <w:pgMar w:top="1440" w:right="720" w:bottom="1440" w:left="720" w:header="720" w:footer="720" w:gutter="0"/>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pPr>
        <w:widowControl/>
        <w:spacing w:before="240" w:after="240"/>
        <w:jc w:val="left"/>
        <w:rPr>
          <w:rFonts w:ascii="Times New Roman" w:hAnsi="Times New Roman" w:eastAsia="Times New Roman" w:cs="Times New Roman"/>
          <w:kern w:val="0"/>
          <w:sz w:val="24"/>
        </w:rPr>
      </w:pP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一、财政拨款收入：</w:t>
      </w:r>
      <w:r>
        <w:rPr>
          <w:rFonts w:ascii="FangSong_GB2312" w:hAnsi="FangSong_GB2312" w:eastAsia="FangSong_GB2312" w:cs="FangSong_GB2312"/>
          <w:spacing w:val="0"/>
          <w:kern w:val="0"/>
          <w:sz w:val="32"/>
          <w:szCs w:val="32"/>
        </w:rPr>
        <w:t>指单位从本级财政单位取得的财政预算资金，包括一般公共预算财政拨款、政府性基金预算财政拨款和国有资本经营预算财政拨款。</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二、事业收入：</w:t>
      </w:r>
      <w:r>
        <w:rPr>
          <w:rFonts w:ascii="FangSong_GB2312" w:hAnsi="FangSong_GB2312" w:eastAsia="FangSong_GB2312" w:cs="FangSong_GB2312"/>
          <w:spacing w:val="0"/>
          <w:kern w:val="0"/>
          <w:sz w:val="32"/>
          <w:szCs w:val="32"/>
        </w:rPr>
        <w:t>指事业单位开展专业业务活动及辅助活动所取得的收入。</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三、经营收入：</w:t>
      </w:r>
      <w:r>
        <w:rPr>
          <w:rFonts w:ascii="FangSong_GB2312" w:hAnsi="FangSong_GB2312" w:eastAsia="FangSong_GB2312" w:cs="FangSong_GB2312"/>
          <w:spacing w:val="0"/>
          <w:kern w:val="0"/>
          <w:sz w:val="32"/>
          <w:szCs w:val="32"/>
        </w:rPr>
        <w:t>指事业单位在专业业务活动及其辅助活动之外开展非独立核算经营活动取得的收入。</w:t>
      </w:r>
    </w:p>
    <w:p>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四、其他收入：</w:t>
      </w:r>
      <w:r>
        <w:rPr>
          <w:rFonts w:ascii="FangSong_GB2312" w:hAnsi="FangSong_GB2312" w:eastAsia="FangSong_GB2312" w:cs="FangSong_GB2312"/>
          <w:kern w:val="0"/>
          <w:sz w:val="32"/>
          <w:szCs w:val="32"/>
        </w:rPr>
        <w:t>指除上述“财政拨款收入”“事业收入”</w:t>
      </w:r>
      <w:r>
        <w:rPr>
          <w:rFonts w:ascii="FangSong_GB2312" w:hAnsi="FangSong_GB2312" w:eastAsia="FangSong_GB2312" w:cs="FangSong_GB2312"/>
          <w:kern w:val="0"/>
          <w:szCs w:val="21"/>
        </w:rPr>
        <w:t> </w:t>
      </w:r>
      <w:r>
        <w:rPr>
          <w:rFonts w:ascii="FangSong_GB2312" w:hAnsi="FangSong_GB2312" w:eastAsia="FangSong_GB2312" w:cs="FangSong_GB2312"/>
          <w:kern w:val="0"/>
          <w:sz w:val="32"/>
          <w:szCs w:val="32"/>
        </w:rPr>
        <w:t>“上级补助收入”“附属单位上缴收入”“经营收入”等以外取得的各项收入。主要是事业单位固定资产出租收入等。</w:t>
      </w:r>
    </w:p>
    <w:p>
      <w:pPr>
        <w:pStyle w:val="28"/>
        <w:widowControl/>
        <w:spacing w:before="24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五、使用非财政拨款结余（含专用结余）：</w:t>
      </w:r>
      <w:r>
        <w:rPr>
          <w:rFonts w:ascii="FangSong_GB2312" w:hAnsi="FangSong_GB2312" w:eastAsia="FangSong_GB2312" w:cs="FangSong_GB2312"/>
          <w:kern w:val="0"/>
          <w:sz w:val="32"/>
          <w:szCs w:val="32"/>
        </w:rPr>
        <w:t>指事业单位按照预算管理要求使用非财政拨款结余弥补当年收支差额的金额，以及使用专用结余安排支出的金额。</w:t>
      </w:r>
    </w:p>
    <w:p>
      <w:pPr>
        <w:pStyle w:val="28"/>
        <w:widowControl/>
        <w:spacing w:before="24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六、年初结转和结余：</w:t>
      </w:r>
      <w:r>
        <w:rPr>
          <w:rFonts w:ascii="FangSong_GB2312" w:hAnsi="FangSong_GB2312" w:eastAsia="FangSong_GB2312" w:cs="FangSong_GB2312"/>
          <w:spacing w:val="0"/>
          <w:kern w:val="0"/>
          <w:sz w:val="32"/>
          <w:szCs w:val="32"/>
        </w:rPr>
        <w:t>指单位以前年度尚未完成、结转到本年仍按原规定用途继续使用的资金，或项目已完成等产生的结余资金。</w:t>
      </w:r>
    </w:p>
    <w:p>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七、结余分配：</w:t>
      </w:r>
      <w:r>
        <w:rPr>
          <w:rFonts w:ascii="FangSong_GB2312" w:hAnsi="FangSong_GB2312" w:eastAsia="FangSong_GB2312" w:cs="FangSong_GB2312"/>
          <w:spacing w:val="0"/>
          <w:kern w:val="0"/>
          <w:sz w:val="32"/>
          <w:szCs w:val="32"/>
        </w:rPr>
        <w:t>指事业单位按照会计制度规定缴纳的所得税、提取的专用结余以及转入非财政拨款结余的金额等。</w:t>
      </w:r>
    </w:p>
    <w:p>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八、年末结转和结余：</w:t>
      </w:r>
      <w:r>
        <w:rPr>
          <w:rFonts w:ascii="FangSong_GB2312" w:hAnsi="FangSong_GB2312" w:eastAsia="FangSong_GB2312" w:cs="FangSong_GB2312"/>
          <w:spacing w:val="0"/>
          <w:kern w:val="0"/>
          <w:sz w:val="32"/>
          <w:szCs w:val="32"/>
        </w:rPr>
        <w:t>指单位按有关规定结转到下年或以后年度继续使用的资金，或项目已完成等产生的结余资金。</w:t>
      </w:r>
    </w:p>
    <w:p>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九、基本支出：</w:t>
      </w:r>
      <w:r>
        <w:rPr>
          <w:rFonts w:ascii="FangSong_GB2312" w:hAnsi="FangSong_GB2312" w:eastAsia="FangSong_GB2312" w:cs="FangSong_GB2312"/>
          <w:spacing w:val="0"/>
          <w:kern w:val="0"/>
          <w:sz w:val="32"/>
          <w:szCs w:val="32"/>
        </w:rPr>
        <w:t>指为保障机构正常运转、完成日常工作任务而发生的人员支出和公用支出。</w:t>
      </w:r>
    </w:p>
    <w:p>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十、项目支出：</w:t>
      </w:r>
      <w:r>
        <w:rPr>
          <w:rFonts w:ascii="FangSong_GB2312" w:hAnsi="FangSong_GB2312" w:eastAsia="FangSong_GB2312" w:cs="FangSong_GB2312"/>
          <w:spacing w:val="0"/>
          <w:kern w:val="0"/>
          <w:sz w:val="32"/>
          <w:szCs w:val="32"/>
        </w:rPr>
        <w:t>指在基本支出之外为完成特定行政任务和事业发展目标所发生的支出。</w:t>
      </w:r>
    </w:p>
    <w:p>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十一、经营支出：</w:t>
      </w:r>
      <w:r>
        <w:rPr>
          <w:rFonts w:ascii="FangSong_GB2312" w:hAnsi="FangSong_GB2312" w:eastAsia="FangSong_GB2312" w:cs="FangSong_GB2312"/>
          <w:spacing w:val="0"/>
          <w:kern w:val="0"/>
          <w:sz w:val="32"/>
          <w:szCs w:val="32"/>
        </w:rPr>
        <w:t>指事业单位在专业业务活动及其辅助活动之外开展非独立核算经营活动发生的支出。</w:t>
      </w:r>
    </w:p>
    <w:p>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十二、“三公”经费：</w:t>
      </w:r>
      <w:r>
        <w:rPr>
          <w:rFonts w:ascii="FangSong_GB2312" w:hAnsi="FangSong_GB2312" w:eastAsia="FangSong_GB2312" w:cs="FangSong_GB2312"/>
          <w:kern w:val="0"/>
          <w:sz w:val="32"/>
          <w:szCs w:val="32"/>
        </w:rPr>
        <w:t>纳入本级财政预决算管理的“三公”经费，是指本级部门用一般公共预算财政拨款安排的因公出国（境）费用、公务用车购置及运行费和公务接待费。其中，因公出国（境）费用反映单位公务出国（境）的国际旅费、国外城市间交通费、住宿费、伙食费、培训费、公杂费等支出；公务用车购置及运行费反映单位公务用车车辆购置支出（含车辆购置税、牌照费）及按规定保留的公务用车燃料费、新能源汽车充电费、维修费、过桥过路费、保险费、安全奖励费用等支出；公务接待费反映单位按规定开支的各类公务接待（含外宾接待）支出。</w:t>
      </w:r>
      <w:r>
        <w:rPr>
          <w:rFonts w:ascii="仿宋" w:hAnsi="仿宋" w:eastAsia="仿宋" w:cs="仿宋"/>
          <w:kern w:val="0"/>
          <w:sz w:val="32"/>
          <w:szCs w:val="32"/>
        </w:rPr>
        <w:t> </w:t>
      </w:r>
    </w:p>
    <w:p>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十三、机关运行经费：</w:t>
      </w:r>
      <w:r>
        <w:rPr>
          <w:rFonts w:ascii="FangSong_GB2312" w:hAnsi="FangSong_GB2312" w:eastAsia="FangSong_GB2312" w:cs="FangSong_GB2312"/>
          <w:kern w:val="0"/>
          <w:sz w:val="32"/>
          <w:szCs w:val="32"/>
        </w:rPr>
        <w:t>反映行政单位（含参照公务员法管理的事业单位）财政拨款基本支出中的公用经费支出，包括办公及印刷费、邮电费、差旅费、会议费、福利费、日常维修费、专用材料及一般设备购置费、办公用房水电费、办公用房取暖费、办公用房物业管理费、公务用车运行维护费以及其他费用。</w:t>
      </w:r>
    </w:p>
    <w:p>
      <w:pPr>
        <w:pStyle w:val="28"/>
        <w:widowControl/>
        <w:spacing w:before="240" w:after="240"/>
        <w:ind w:firstLine="643"/>
        <w:jc w:val="left"/>
        <w:rPr>
          <w:rFonts w:ascii="Times New Roman" w:hAnsi="Times New Roman" w:eastAsia="Times New Roman" w:cs="Times New Roman"/>
          <w:kern w:val="0"/>
          <w:sz w:val="24"/>
        </w:rPr>
      </w:pPr>
    </w:p>
    <w:p>
      <w:pPr>
        <w:pStyle w:val="28"/>
        <w:widowControl/>
        <w:spacing w:before="240" w:after="240"/>
        <w:jc w:val="left"/>
        <w:rPr>
          <w:rFonts w:ascii="Times New Roman" w:hAnsi="Times New Roman" w:eastAsia="Times New Roman" w:cs="Times New Roman"/>
          <w:kern w:val="0"/>
          <w:sz w:val="24"/>
        </w:rPr>
      </w:pPr>
    </w:p>
    <w:p>
      <w:pPr>
        <w:sectPr>
          <w:footerReference r:id="rId20" w:type="default"/>
          <w:pgSz w:w="11906" w:h="16838"/>
          <w:pgMar w:top="1440" w:right="720" w:bottom="1440" w:left="720" w:header="720" w:footer="720" w:gutter="0"/>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pPr>
        <w:widowControl/>
        <w:spacing w:before="240" w:after="240"/>
        <w:jc w:val="left"/>
        <w:rPr>
          <w:rFonts w:ascii="Times New Roman" w:hAnsi="Times New Roman" w:eastAsia="Times New Roman" w:cs="Times New Roman"/>
          <w:kern w:val="0"/>
          <w:sz w:val="24"/>
        </w:rPr>
      </w:pPr>
    </w:p>
    <w:p>
      <w:pPr>
        <w:pStyle w:val="28"/>
        <w:widowControl/>
        <w:spacing w:before="240" w:after="240"/>
        <w:jc w:val="left"/>
        <w:rPr>
          <w:rFonts w:ascii="Times New Roman" w:hAnsi="Times New Roman" w:eastAsia="Times New Roman" w:cs="Times New Roman"/>
          <w:kern w:val="0"/>
          <w:sz w:val="24"/>
        </w:rPr>
      </w:pPr>
    </w:p>
    <w:p>
      <w:pPr>
        <w:pStyle w:val="28"/>
        <w:widowControl/>
        <w:spacing w:before="240" w:after="240"/>
        <w:jc w:val="left"/>
        <w:rPr>
          <w:rFonts w:ascii="Times New Roman" w:hAnsi="Times New Roman" w:eastAsia="Times New Roman" w:cs="Times New Roman"/>
          <w:kern w:val="0"/>
          <w:sz w:val="24"/>
        </w:rPr>
      </w:pPr>
    </w:p>
    <w:p>
      <w:pPr>
        <w:pStyle w:val="28"/>
        <w:widowControl/>
        <w:spacing w:before="240" w:after="240"/>
        <w:jc w:val="left"/>
        <w:rPr>
          <w:rFonts w:ascii="Times New Roman" w:hAnsi="Times New Roman" w:eastAsia="Times New Roman" w:cs="Times New Roman"/>
          <w:kern w:val="0"/>
          <w:sz w:val="24"/>
        </w:rPr>
      </w:pPr>
    </w:p>
    <w:p>
      <w:pPr>
        <w:pStyle w:val="28"/>
        <w:widowControl/>
        <w:spacing w:before="240" w:after="240"/>
        <w:jc w:val="left"/>
        <w:rPr>
          <w:rFonts w:ascii="Times New Roman" w:hAnsi="Times New Roman" w:eastAsia="Times New Roman" w:cs="Times New Roman"/>
          <w:kern w:val="0"/>
          <w:sz w:val="24"/>
        </w:rPr>
      </w:pPr>
    </w:p>
    <w:p>
      <w:pPr>
        <w:pStyle w:val="28"/>
        <w:widowControl/>
        <w:spacing w:before="240" w:after="240"/>
        <w:jc w:val="left"/>
        <w:rPr>
          <w:rFonts w:ascii="Times New Roman" w:hAnsi="Times New Roman" w:eastAsia="Times New Roman" w:cs="Times New Roman"/>
          <w:kern w:val="0"/>
          <w:sz w:val="24"/>
        </w:rPr>
      </w:pPr>
    </w:p>
    <w:p>
      <w:pPr>
        <w:pStyle w:val="28"/>
        <w:widowControl/>
        <w:spacing w:before="240" w:after="240"/>
        <w:jc w:val="left"/>
        <w:rPr>
          <w:rFonts w:ascii="Times New Roman" w:hAnsi="Times New Roman" w:eastAsia="Times New Roman" w:cs="Times New Roman"/>
          <w:kern w:val="0"/>
          <w:sz w:val="24"/>
        </w:rPr>
      </w:pPr>
    </w:p>
    <w:p>
      <w:pPr>
        <w:pStyle w:val="28"/>
        <w:widowControl/>
        <w:spacing w:before="240" w:after="240"/>
        <w:jc w:val="left"/>
        <w:rPr>
          <w:rFonts w:ascii="Times New Roman" w:hAnsi="Times New Roman" w:eastAsia="Times New Roman" w:cs="Times New Roman"/>
          <w:kern w:val="0"/>
          <w:sz w:val="24"/>
        </w:rPr>
      </w:pPr>
    </w:p>
    <w:p>
      <w:pPr>
        <w:pStyle w:val="28"/>
        <w:widowControl/>
        <w:spacing w:before="240" w:after="240"/>
        <w:jc w:val="left"/>
        <w:rPr>
          <w:rFonts w:ascii="Times New Roman" w:hAnsi="Times New Roman" w:eastAsia="Times New Roman" w:cs="Times New Roman"/>
          <w:kern w:val="0"/>
          <w:sz w:val="24"/>
        </w:rPr>
      </w:pPr>
    </w:p>
    <w:p>
      <w:pPr>
        <w:pStyle w:val="28"/>
        <w:widowControl/>
        <w:spacing w:before="240" w:after="240"/>
        <w:jc w:val="left"/>
        <w:rPr>
          <w:rFonts w:ascii="Times New Roman" w:hAnsi="Times New Roman" w:eastAsia="Times New Roman" w:cs="Times New Roman"/>
          <w:kern w:val="0"/>
          <w:sz w:val="24"/>
        </w:rPr>
      </w:pPr>
    </w:p>
    <w:p>
      <w:pPr>
        <w:pStyle w:val="3"/>
        <w:keepNext w:val="0"/>
        <w:keepLines w:val="0"/>
        <w:spacing w:before="299" w:after="299" w:line="240" w:lineRule="auto"/>
        <w:ind w:firstLine="0" w:firstLineChars="0"/>
        <w:jc w:val="center"/>
        <w:rPr>
          <w:rFonts w:ascii="Times New Roman" w:hAnsi="Times New Roman" w:eastAsia="Times New Roman" w:cs="Times New Roman"/>
          <w:b/>
          <w:bCs/>
          <w:kern w:val="0"/>
          <w:sz w:val="36"/>
          <w:szCs w:val="36"/>
        </w:rPr>
      </w:pPr>
      <w:bookmarkStart w:id="26" w:name="_Toc256000077"/>
      <w:r>
        <w:rPr>
          <w:rFonts w:ascii="黑体" w:hAnsi="黑体" w:eastAsia="黑体" w:cs="黑体"/>
          <w:b w:val="0"/>
          <w:bCs w:val="0"/>
          <w:sz w:val="56"/>
          <w:szCs w:val="56"/>
        </w:rPr>
        <w:t>第五部分</w:t>
      </w:r>
      <w:r>
        <w:rPr>
          <w:rFonts w:ascii="黑体" w:hAnsi="黑体" w:eastAsia="黑体" w:cs="黑体"/>
          <w:b w:val="0"/>
          <w:bCs w:val="0"/>
          <w:sz w:val="56"/>
          <w:szCs w:val="56"/>
        </w:rPr>
        <w:br w:type="textWrapping"/>
      </w:r>
      <w:r>
        <w:rPr>
          <w:rFonts w:ascii="黑体" w:hAnsi="黑体" w:eastAsia="黑体" w:cs="黑体"/>
          <w:b w:val="0"/>
          <w:bCs w:val="0"/>
          <w:sz w:val="56"/>
          <w:szCs w:val="56"/>
        </w:rPr>
        <w:t>附件</w:t>
      </w:r>
      <w:bookmarkEnd w:id="26"/>
    </w:p>
    <w:p>
      <w:pPr>
        <w:pStyle w:val="28"/>
        <w:widowControl/>
        <w:spacing w:before="240" w:after="240"/>
        <w:jc w:val="center"/>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sectPr>
          <w:footerReference r:id="rId21" w:type="default"/>
          <w:pgSz w:w="11906" w:h="16838"/>
          <w:pgMar w:top="1984" w:right="1083" w:bottom="1984" w:left="1083" w:header="0" w:footer="720" w:gutter="0"/>
          <w:cols w:space="0" w:num="1"/>
          <w:rtlGutter w:val="0"/>
          <w:docGrid w:type="lines" w:linePitch="317" w:charSpace="0"/>
        </w:sectPr>
      </w:pPr>
    </w:p>
    <w:bookmarkEnd w:id="0"/>
    <w:p>
      <w:pPr>
        <w:keepNext w:val="0"/>
        <w:keepLines w:val="0"/>
        <w:pageBreakBefore w:val="0"/>
        <w:widowControl w:val="0"/>
        <w:tabs>
          <w:tab w:val="left" w:pos="8415"/>
        </w:tabs>
        <w:kinsoku/>
        <w:wordWrap/>
        <w:overflowPunct/>
        <w:topLinePunct w:val="0"/>
        <w:autoSpaceDE/>
        <w:autoSpaceDN/>
        <w:bidi w:val="0"/>
        <w:adjustRightInd/>
        <w:snapToGrid/>
        <w:textAlignment w:val="auto"/>
      </w:pPr>
      <w:r>
        <w:object>
          <v:shape id="_x0000_i1356" o:spt="75" type="#_x0000_t75" style="height:442.3pt;width:643.2pt;" o:ole="t" filled="f" o:preferrelative="t" stroked="f" coordsize="21600,21600">
            <v:path/>
            <v:fill on="f" focussize="0,0"/>
            <v:stroke on="f"/>
            <v:imagedata r:id="rId24" o:title=""/>
            <o:lock v:ext="edit" aspectratio="f"/>
            <w10:wrap type="none"/>
            <w10:anchorlock/>
          </v:shape>
          <o:OLEObject Type="Embed" ProgID="Excel.Sheet.12" ShapeID="_x0000_i1356" DrawAspect="Content" ObjectID="_1468075725" r:id="rId23">
            <o:LockedField>false</o:LockedField>
          </o:OLEObject>
        </w:object>
      </w:r>
    </w:p>
    <w:p>
      <w:pPr>
        <w:keepNext w:val="0"/>
        <w:keepLines w:val="0"/>
        <w:pageBreakBefore w:val="0"/>
        <w:widowControl w:val="0"/>
        <w:tabs>
          <w:tab w:val="left" w:pos="8415"/>
        </w:tabs>
        <w:kinsoku/>
        <w:wordWrap/>
        <w:overflowPunct/>
        <w:topLinePunct w:val="0"/>
        <w:autoSpaceDE/>
        <w:autoSpaceDN/>
        <w:bidi w:val="0"/>
        <w:adjustRightInd/>
        <w:snapToGrid/>
        <w:textAlignment w:val="auto"/>
      </w:pPr>
    </w:p>
    <w:p>
      <w:pPr>
        <w:keepNext w:val="0"/>
        <w:keepLines w:val="0"/>
        <w:pageBreakBefore w:val="0"/>
        <w:widowControl w:val="0"/>
        <w:tabs>
          <w:tab w:val="left" w:pos="8415"/>
        </w:tabs>
        <w:kinsoku/>
        <w:wordWrap/>
        <w:overflowPunct/>
        <w:topLinePunct w:val="0"/>
        <w:autoSpaceDE/>
        <w:autoSpaceDN/>
        <w:bidi w:val="0"/>
        <w:adjustRightInd/>
        <w:snapToGrid/>
        <w:textAlignment w:val="auto"/>
      </w:pPr>
    </w:p>
    <w:p>
      <w:pPr>
        <w:keepNext w:val="0"/>
        <w:keepLines w:val="0"/>
        <w:pageBreakBefore w:val="0"/>
        <w:widowControl w:val="0"/>
        <w:tabs>
          <w:tab w:val="left" w:pos="8415"/>
        </w:tabs>
        <w:kinsoku/>
        <w:wordWrap/>
        <w:overflowPunct/>
        <w:topLinePunct w:val="0"/>
        <w:autoSpaceDE/>
        <w:autoSpaceDN/>
        <w:bidi w:val="0"/>
        <w:adjustRightInd/>
        <w:snapToGrid/>
        <w:textAlignment w:val="auto"/>
      </w:pPr>
    </w:p>
    <w:p>
      <w:pPr>
        <w:keepNext w:val="0"/>
        <w:keepLines w:val="0"/>
        <w:pageBreakBefore w:val="0"/>
        <w:widowControl w:val="0"/>
        <w:tabs>
          <w:tab w:val="left" w:pos="8415"/>
        </w:tabs>
        <w:kinsoku/>
        <w:wordWrap/>
        <w:overflowPunct/>
        <w:topLinePunct w:val="0"/>
        <w:autoSpaceDE/>
        <w:autoSpaceDN/>
        <w:bidi w:val="0"/>
        <w:adjustRightInd/>
        <w:snapToGrid/>
        <w:textAlignment w:val="auto"/>
      </w:pPr>
      <w:r>
        <w:object>
          <v:shape id="_x0000_i1345" o:spt="75" type="#_x0000_t75" style="height:404.45pt;width:649.15pt;" o:ole="t" filled="f" o:preferrelative="t" stroked="f" coordsize="21600,21600">
            <v:path/>
            <v:fill on="f" focussize="0,0"/>
            <v:stroke on="f"/>
            <v:imagedata r:id="rId26" o:title=""/>
            <o:lock v:ext="edit" aspectratio="f"/>
            <w10:wrap type="none"/>
            <w10:anchorlock/>
          </v:shape>
          <o:OLEObject Type="Embed" ProgID="Excel.Sheet.12" ShapeID="_x0000_i1345" DrawAspect="Content" ObjectID="_1468075726" r:id="rId25">
            <o:LockedField>false</o:LockedField>
          </o:OLEObject>
        </w:object>
      </w:r>
    </w:p>
    <w:p>
      <w:pPr>
        <w:keepNext w:val="0"/>
        <w:keepLines w:val="0"/>
        <w:pageBreakBefore w:val="0"/>
        <w:widowControl w:val="0"/>
        <w:tabs>
          <w:tab w:val="left" w:pos="8415"/>
        </w:tabs>
        <w:kinsoku/>
        <w:wordWrap/>
        <w:overflowPunct/>
        <w:topLinePunct w:val="0"/>
        <w:autoSpaceDE/>
        <w:autoSpaceDN/>
        <w:bidi w:val="0"/>
        <w:adjustRightInd/>
        <w:snapToGrid/>
        <w:textAlignment w:val="auto"/>
      </w:pPr>
    </w:p>
    <w:p>
      <w:pPr>
        <w:keepNext w:val="0"/>
        <w:keepLines w:val="0"/>
        <w:pageBreakBefore w:val="0"/>
        <w:widowControl w:val="0"/>
        <w:tabs>
          <w:tab w:val="left" w:pos="8415"/>
        </w:tabs>
        <w:kinsoku/>
        <w:wordWrap/>
        <w:overflowPunct/>
        <w:topLinePunct w:val="0"/>
        <w:autoSpaceDE/>
        <w:autoSpaceDN/>
        <w:bidi w:val="0"/>
        <w:adjustRightInd/>
        <w:snapToGrid/>
        <w:textAlignment w:val="auto"/>
      </w:pPr>
    </w:p>
    <w:p>
      <w:pPr>
        <w:keepNext w:val="0"/>
        <w:keepLines w:val="0"/>
        <w:pageBreakBefore w:val="0"/>
        <w:widowControl w:val="0"/>
        <w:tabs>
          <w:tab w:val="left" w:pos="8415"/>
        </w:tabs>
        <w:kinsoku/>
        <w:wordWrap/>
        <w:overflowPunct/>
        <w:topLinePunct w:val="0"/>
        <w:autoSpaceDE/>
        <w:autoSpaceDN/>
        <w:bidi w:val="0"/>
        <w:adjustRightInd/>
        <w:snapToGrid/>
        <w:textAlignment w:val="auto"/>
      </w:pPr>
    </w:p>
    <w:p>
      <w:pPr>
        <w:keepNext w:val="0"/>
        <w:keepLines w:val="0"/>
        <w:pageBreakBefore w:val="0"/>
        <w:widowControl w:val="0"/>
        <w:tabs>
          <w:tab w:val="left" w:pos="8415"/>
        </w:tabs>
        <w:kinsoku/>
        <w:wordWrap/>
        <w:overflowPunct/>
        <w:topLinePunct w:val="0"/>
        <w:autoSpaceDE/>
        <w:autoSpaceDN/>
        <w:bidi w:val="0"/>
        <w:adjustRightInd/>
        <w:snapToGrid/>
        <w:textAlignment w:val="auto"/>
      </w:pPr>
      <w:r>
        <w:object>
          <v:shape id="_x0000_i1346" o:spt="75" type="#_x0000_t75" style="height:402.1pt;width:639.5pt;" o:ole="t" filled="f" o:preferrelative="t" stroked="f" coordsize="21600,21600">
            <v:path/>
            <v:fill on="f" focussize="0,0"/>
            <v:stroke on="f"/>
            <v:imagedata r:id="rId28" o:title=""/>
            <o:lock v:ext="edit" aspectratio="f"/>
            <w10:wrap type="none"/>
            <w10:anchorlock/>
          </v:shape>
          <o:OLEObject Type="Embed" ProgID="Excel.Sheet.12" ShapeID="_x0000_i1346" DrawAspect="Content" ObjectID="_1468075727" r:id="rId27">
            <o:LockedField>false</o:LockedField>
          </o:OLEObject>
        </w:object>
      </w:r>
    </w:p>
    <w:p>
      <w:pPr>
        <w:rPr>
          <w:rFonts w:ascii="Times New Roman" w:hAnsi="Times New Roman" w:eastAsia="宋体" w:cs="Times New Roman"/>
          <w:kern w:val="2"/>
          <w:sz w:val="21"/>
          <w:szCs w:val="24"/>
          <w:lang w:val="en-US" w:eastAsia="zh-CN" w:bidi="ar-SA"/>
        </w:rPr>
      </w:pPr>
    </w:p>
    <w:p>
      <w:pPr>
        <w:ind w:firstLine="489" w:firstLineChars="0"/>
        <w:jc w:val="left"/>
        <w:rPr>
          <w:rFonts w:ascii="Times New Roman" w:hAnsi="Times New Roman" w:eastAsia="宋体" w:cs="Times New Roman"/>
          <w:kern w:val="2"/>
          <w:sz w:val="21"/>
          <w:szCs w:val="24"/>
          <w:lang w:val="en-US" w:eastAsia="zh-CN" w:bidi="ar-SA"/>
        </w:rPr>
      </w:pPr>
    </w:p>
    <w:p>
      <w:pPr>
        <w:ind w:firstLine="489" w:firstLineChars="0"/>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r>
        <w:rPr>
          <w:rFonts w:ascii="Times New Roman" w:hAnsi="Times New Roman" w:eastAsia="宋体" w:cs="Times New Roman"/>
          <w:kern w:val="2"/>
          <w:sz w:val="21"/>
          <w:szCs w:val="24"/>
          <w:lang w:val="en-US" w:eastAsia="zh-CN" w:bidi="ar-SA"/>
        </w:rPr>
        <w:object>
          <v:shape id="_x0000_i1347" o:spt="75" type="#_x0000_t75" style="height:426.8pt;width:639.5pt;" o:ole="t" filled="f" o:preferrelative="t" stroked="f" coordsize="21600,21600">
            <v:path/>
            <v:fill on="f" focussize="0,0"/>
            <v:stroke on="f"/>
            <v:imagedata r:id="rId30" o:title=""/>
            <o:lock v:ext="edit" aspectratio="f"/>
            <w10:wrap type="none"/>
            <w10:anchorlock/>
          </v:shape>
          <o:OLEObject Type="Embed" ProgID="Excel.Sheet.12" ShapeID="_x0000_i1347" DrawAspect="Content" ObjectID="_1468075728" r:id="rId29">
            <o:LockedField>false</o:LockedField>
          </o:OLEObject>
        </w:object>
      </w:r>
    </w:p>
    <w:p>
      <w:pPr>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r>
        <w:rPr>
          <w:rFonts w:ascii="Times New Roman" w:hAnsi="Times New Roman" w:eastAsia="宋体" w:cs="Times New Roman"/>
          <w:kern w:val="2"/>
          <w:sz w:val="21"/>
          <w:szCs w:val="24"/>
          <w:lang w:val="en-US" w:eastAsia="zh-CN" w:bidi="ar-SA"/>
        </w:rPr>
        <w:object>
          <v:shape id="_x0000_i1348" o:spt="75" type="#_x0000_t75" style="height:422.1pt;width:640.25pt;" o:ole="t" filled="f" o:preferrelative="t" stroked="f" coordsize="21600,21600">
            <v:path/>
            <v:fill on="f" focussize="0,0"/>
            <v:stroke on="f"/>
            <v:imagedata r:id="rId32" o:title=""/>
            <o:lock v:ext="edit" aspectratio="f"/>
            <w10:wrap type="none"/>
            <w10:anchorlock/>
          </v:shape>
          <o:OLEObject Type="Embed" ProgID="Excel.Sheet.12" ShapeID="_x0000_i1348" DrawAspect="Content" ObjectID="_1468075729" r:id="rId31">
            <o:LockedField>false</o:LockedField>
          </o:OLEObject>
        </w:object>
      </w: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r>
        <w:rPr>
          <w:rFonts w:ascii="Times New Roman" w:hAnsi="Times New Roman" w:eastAsia="宋体" w:cs="Times New Roman"/>
          <w:kern w:val="2"/>
          <w:sz w:val="21"/>
          <w:szCs w:val="24"/>
          <w:lang w:val="en-US" w:eastAsia="zh-CN" w:bidi="ar-SA"/>
        </w:rPr>
        <w:object>
          <v:shape id="_x0000_i1349" o:spt="75" type="#_x0000_t75" style="height:419.25pt;width:637.2pt;" o:ole="t" filled="f" o:preferrelative="t" stroked="f" coordsize="21600,21600">
            <v:path/>
            <v:fill on="f" focussize="0,0"/>
            <v:stroke on="f"/>
            <v:imagedata r:id="rId34" o:title=""/>
            <o:lock v:ext="edit" aspectratio="f"/>
            <w10:wrap type="none"/>
            <w10:anchorlock/>
          </v:shape>
          <o:OLEObject Type="Embed" ProgID="Excel.Sheet.12" ShapeID="_x0000_i1349" DrawAspect="Content" ObjectID="_1468075730" r:id="rId33">
            <o:LockedField>false</o:LockedField>
          </o:OLEObject>
        </w:object>
      </w:r>
    </w:p>
    <w:p>
      <w:pPr>
        <w:rPr>
          <w:rFonts w:ascii="Times New Roman" w:hAnsi="Times New Roman" w:eastAsia="宋体" w:cs="Times New Roman"/>
          <w:kern w:val="2"/>
          <w:sz w:val="21"/>
          <w:szCs w:val="24"/>
          <w:lang w:val="en-US" w:eastAsia="zh-CN" w:bidi="ar-SA"/>
        </w:rPr>
      </w:pPr>
    </w:p>
    <w:p>
      <w:pPr>
        <w:rPr>
          <w:rFonts w:ascii="Times New Roman" w:hAnsi="Times New Roman" w:eastAsia="宋体" w:cs="Times New Roman"/>
          <w:kern w:val="2"/>
          <w:sz w:val="21"/>
          <w:szCs w:val="24"/>
          <w:lang w:val="en-US" w:eastAsia="zh-CN" w:bidi="ar-SA"/>
        </w:rPr>
      </w:pPr>
    </w:p>
    <w:p>
      <w:pPr>
        <w:ind w:firstLine="339" w:firstLineChars="0"/>
        <w:jc w:val="left"/>
        <w:rPr>
          <w:rFonts w:ascii="Times New Roman" w:hAnsi="Times New Roman" w:eastAsia="宋体" w:cs="Times New Roman"/>
          <w:kern w:val="2"/>
          <w:sz w:val="21"/>
          <w:szCs w:val="24"/>
          <w:lang w:val="en-US" w:eastAsia="zh-CN" w:bidi="ar-SA"/>
        </w:rPr>
      </w:pPr>
    </w:p>
    <w:p>
      <w:pPr>
        <w:ind w:firstLine="339" w:firstLineChars="0"/>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r>
        <w:rPr>
          <w:rFonts w:ascii="Times New Roman" w:hAnsi="Times New Roman" w:eastAsia="宋体" w:cs="Times New Roman"/>
          <w:kern w:val="2"/>
          <w:sz w:val="21"/>
          <w:szCs w:val="24"/>
          <w:lang w:val="en-US" w:eastAsia="zh-CN" w:bidi="ar-SA"/>
        </w:rPr>
        <w:object>
          <v:shape id="_x0000_i1350" o:spt="75" type="#_x0000_t75" style="height:404.8pt;width:643.9pt;" o:ole="t" filled="f" o:preferrelative="t" stroked="f" coordsize="21600,21600">
            <v:path/>
            <v:fill on="f" focussize="0,0"/>
            <v:stroke on="f"/>
            <v:imagedata r:id="rId36" o:title=""/>
            <o:lock v:ext="edit" aspectratio="f"/>
            <w10:wrap type="none"/>
            <w10:anchorlock/>
          </v:shape>
          <o:OLEObject Type="Embed" ProgID="Excel.Sheet.12" ShapeID="_x0000_i1350" DrawAspect="Content" ObjectID="_1468075731" r:id="rId35">
            <o:LockedField>false</o:LockedField>
          </o:OLEObject>
        </w:object>
      </w:r>
    </w:p>
    <w:p>
      <w:pPr>
        <w:ind w:firstLine="339" w:firstLineChars="0"/>
        <w:jc w:val="left"/>
        <w:rPr>
          <w:rFonts w:ascii="Times New Roman" w:hAnsi="Times New Roman" w:eastAsia="宋体" w:cs="Times New Roman"/>
          <w:kern w:val="2"/>
          <w:sz w:val="21"/>
          <w:szCs w:val="24"/>
          <w:lang w:val="en-US" w:eastAsia="zh-CN" w:bidi="ar-SA"/>
        </w:rPr>
      </w:pPr>
    </w:p>
    <w:p>
      <w:pPr>
        <w:ind w:firstLine="414" w:firstLineChars="0"/>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r>
        <w:rPr>
          <w:rFonts w:ascii="Times New Roman" w:hAnsi="Times New Roman" w:eastAsia="宋体" w:cs="Times New Roman"/>
          <w:kern w:val="2"/>
          <w:sz w:val="21"/>
          <w:szCs w:val="24"/>
          <w:lang w:val="en-US" w:eastAsia="zh-CN" w:bidi="ar-SA"/>
        </w:rPr>
        <w:object>
          <v:shape id="_x0000_i1352" o:spt="75" alt="" type="#_x0000_t75" style="height:434.8pt;width:640.95pt;" o:ole="t" filled="f" o:preferrelative="t" stroked="f" coordsize="21600,21600">
            <v:path/>
            <v:fill on="f" focussize="0,0"/>
            <v:stroke on="f"/>
            <v:imagedata r:id="rId38" o:title=""/>
            <o:lock v:ext="edit" aspectratio="f"/>
            <w10:wrap type="none"/>
            <w10:anchorlock/>
          </v:shape>
          <o:OLEObject Type="Embed" ProgID="Excel.Sheet.12" ShapeID="_x0000_i1352" DrawAspect="Content" ObjectID="_1468075732" r:id="rId37">
            <o:LockedField>false</o:LockedField>
          </o:OLEObject>
        </w:object>
      </w: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r>
        <w:rPr>
          <w:rFonts w:ascii="Times New Roman" w:hAnsi="Times New Roman" w:eastAsia="宋体" w:cs="Times New Roman"/>
          <w:kern w:val="2"/>
          <w:sz w:val="21"/>
          <w:szCs w:val="24"/>
          <w:lang w:val="en-US" w:eastAsia="zh-CN" w:bidi="ar-SA"/>
        </w:rPr>
        <w:object>
          <v:shape id="_x0000_i1357" o:spt="75" type="#_x0000_t75" style="height:411.6pt;width:639.5pt;" o:ole="t" filled="f" o:preferrelative="t" stroked="f" coordsize="21600,21600">
            <v:path/>
            <v:fill on="f" focussize="0,0"/>
            <v:stroke on="f"/>
            <v:imagedata r:id="rId40" o:title=""/>
            <o:lock v:ext="edit" aspectratio="f"/>
            <w10:wrap type="none"/>
            <w10:anchorlock/>
          </v:shape>
          <o:OLEObject Type="Embed" ProgID="Excel.Sheet.12" ShapeID="_x0000_i1357" DrawAspect="Content" ObjectID="_1468075733" r:id="rId39">
            <o:LockedField>false</o:LockedField>
          </o:OLEObject>
        </w:object>
      </w:r>
    </w:p>
    <w:p>
      <w:pPr>
        <w:rPr>
          <w:rFonts w:ascii="Times New Roman" w:hAnsi="Times New Roman" w:eastAsia="宋体" w:cs="Times New Roman"/>
          <w:kern w:val="2"/>
          <w:sz w:val="21"/>
          <w:szCs w:val="24"/>
          <w:lang w:val="en-US" w:eastAsia="zh-CN" w:bidi="ar-SA"/>
        </w:rPr>
      </w:pPr>
    </w:p>
    <w:p>
      <w:pPr>
        <w:rPr>
          <w:rFonts w:ascii="Times New Roman" w:hAnsi="Times New Roman" w:eastAsia="宋体" w:cs="Times New Roman"/>
          <w:kern w:val="2"/>
          <w:sz w:val="21"/>
          <w:szCs w:val="24"/>
          <w:lang w:val="en-US" w:eastAsia="zh-CN" w:bidi="ar-SA"/>
        </w:rPr>
      </w:pPr>
    </w:p>
    <w:p>
      <w:pPr>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r>
        <w:rPr>
          <w:rFonts w:ascii="Times New Roman" w:hAnsi="Times New Roman" w:eastAsia="宋体" w:cs="Times New Roman"/>
          <w:kern w:val="2"/>
          <w:sz w:val="21"/>
          <w:szCs w:val="24"/>
          <w:lang w:val="en-US" w:eastAsia="zh-CN" w:bidi="ar-SA"/>
        </w:rPr>
        <w:object>
          <v:shape id="_x0000_i1358" o:spt="75" type="#_x0000_t75" style="height:405pt;width:642.45pt;" o:ole="t" filled="f" o:preferrelative="t" stroked="f" coordsize="21600,21600">
            <v:path/>
            <v:fill on="f" focussize="0,0"/>
            <v:stroke on="f"/>
            <v:imagedata r:id="rId42" o:title=""/>
            <o:lock v:ext="edit" aspectratio="f"/>
            <w10:wrap type="none"/>
            <w10:anchorlock/>
          </v:shape>
          <o:OLEObject Type="Embed" ProgID="Excel.Sheet.12" ShapeID="_x0000_i1358" DrawAspect="Content" ObjectID="_1468075734" r:id="rId41">
            <o:LockedField>false</o:LockedField>
          </o:OLEObject>
        </w:object>
      </w:r>
    </w:p>
    <w:p>
      <w:pPr>
        <w:rPr>
          <w:rFonts w:ascii="Times New Roman" w:hAnsi="Times New Roman" w:eastAsia="宋体" w:cs="Times New Roman"/>
          <w:kern w:val="2"/>
          <w:sz w:val="21"/>
          <w:szCs w:val="24"/>
          <w:lang w:val="en-US" w:eastAsia="zh-CN" w:bidi="ar-SA"/>
        </w:rPr>
      </w:pPr>
    </w:p>
    <w:p>
      <w:pPr>
        <w:ind w:firstLine="414" w:firstLineChars="0"/>
        <w:jc w:val="left"/>
        <w:rPr>
          <w:rFonts w:ascii="Times New Roman" w:hAnsi="Times New Roman" w:eastAsia="宋体" w:cs="Times New Roman"/>
          <w:kern w:val="2"/>
          <w:sz w:val="21"/>
          <w:szCs w:val="24"/>
          <w:lang w:val="en-US" w:eastAsia="zh-CN" w:bidi="ar-SA"/>
        </w:rPr>
      </w:pPr>
    </w:p>
    <w:p>
      <w:pPr>
        <w:ind w:firstLine="414" w:firstLineChars="0"/>
        <w:jc w:val="left"/>
        <w:rPr>
          <w:rFonts w:ascii="Times New Roman" w:hAnsi="Times New Roman" w:eastAsia="宋体" w:cs="Times New Roman"/>
          <w:kern w:val="2"/>
          <w:sz w:val="21"/>
          <w:szCs w:val="24"/>
          <w:lang w:val="en-US" w:eastAsia="zh-CN" w:bidi="ar-SA"/>
        </w:rPr>
      </w:pPr>
    </w:p>
    <w:p>
      <w:pPr>
        <w:ind w:firstLine="414" w:firstLineChars="0"/>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r>
        <w:rPr>
          <w:rFonts w:ascii="Times New Roman" w:hAnsi="Times New Roman" w:eastAsia="宋体" w:cs="Times New Roman"/>
          <w:kern w:val="2"/>
          <w:sz w:val="21"/>
          <w:szCs w:val="24"/>
          <w:lang w:val="en-US" w:eastAsia="zh-CN" w:bidi="ar-SA"/>
        </w:rPr>
        <w:object>
          <v:shape id="_x0000_i1359" o:spt="75" type="#_x0000_t75" style="height:424.35pt;width:642.45pt;" o:ole="t" filled="f" o:preferrelative="t" stroked="f" coordsize="21600,21600">
            <v:path/>
            <v:fill on="f" focussize="0,0"/>
            <v:stroke on="f"/>
            <v:imagedata r:id="rId44" o:title=""/>
            <o:lock v:ext="edit" aspectratio="f"/>
            <w10:wrap type="none"/>
            <w10:anchorlock/>
          </v:shape>
          <o:OLEObject Type="Embed" ProgID="Excel.Sheet.12" ShapeID="_x0000_i1359" DrawAspect="Content" ObjectID="_1468075735" r:id="rId43">
            <o:LockedField>false</o:LockedField>
          </o:OLEObject>
        </w:object>
      </w:r>
      <w:bookmarkStart w:id="27" w:name="_GoBack"/>
      <w:bookmarkEnd w:id="27"/>
    </w:p>
    <w:sectPr>
      <w:pgSz w:w="16838" w:h="11906" w:orient="landscape"/>
      <w:pgMar w:top="1083" w:right="1984" w:bottom="1083" w:left="1984" w:header="0" w:footer="720"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KSOFBFDA8B98">
    <w:altName w:val="宋体"/>
    <w:panose1 w:val="02010601030101010101"/>
    <w:charset w:val="86"/>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FangSong_GB2312">
    <w:altName w:val="仿宋_GB2312"/>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等线">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A00002EF" w:usb1="4000207B" w:usb2="00000000" w:usb3="00000000" w:csb0="2000019F" w:csb1="00000000"/>
  </w:font>
  <w:font w:name="Segoe Print">
    <w:panose1 w:val="02000600000000000000"/>
    <w:charset w:val="00"/>
    <w:family w:val="auto"/>
    <w:pitch w:val="default"/>
    <w:sig w:usb0="0000028F" w:usb1="00000000" w:usb2="00000000" w:usb3="00000000" w:csb0="2000009F" w:csb1="47010000"/>
  </w:font>
  <w:font w:name="@宋体">
    <w:panose1 w:val="02010600030101010101"/>
    <w:charset w:val="86"/>
    <w:family w:val="auto"/>
    <w:pitch w:val="default"/>
    <w:sig w:usb0="00000003" w:usb1="288F0000" w:usb2="00000006" w:usb3="00000000" w:csb0="00040001" w:csb1="00000000"/>
  </w:font>
  <w:font w:name="Helvetica">
    <w:altName w:val="Aria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19</w:t>
    </w:r>
    <w:r>
      <w:rPr>
        <w:rFonts w:ascii="宋体" w:hAnsi="宋体" w:eastAsia="宋体" w:cs="宋体"/>
        <w:sz w:val="18"/>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20</w:t>
    </w:r>
    <w:r>
      <w:rPr>
        <w:rFonts w:ascii="宋体" w:hAnsi="宋体" w:eastAsia="宋体" w:cs="宋体"/>
        <w:sz w:val="18"/>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21</w:t>
    </w:r>
    <w:r>
      <w:rPr>
        <w:rFonts w:ascii="宋体" w:hAnsi="宋体" w:eastAsia="宋体" w:cs="宋体"/>
        <w:sz w:val="18"/>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22</w:t>
    </w:r>
    <w:r>
      <w:rPr>
        <w:rFonts w:ascii="宋体" w:hAnsi="宋体" w:eastAsia="宋体" w:cs="宋体"/>
        <w:sz w:val="18"/>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23</w:t>
    </w:r>
    <w:r>
      <w:rPr>
        <w:rFonts w:ascii="宋体" w:hAnsi="宋体" w:eastAsia="宋体" w:cs="宋体"/>
        <w:sz w:val="18"/>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29</w:t>
    </w:r>
    <w:r>
      <w:rPr>
        <w:rFonts w:ascii="宋体" w:hAnsi="宋体" w:eastAsia="宋体" w:cs="宋体"/>
        <w:sz w:val="18"/>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30</w:t>
    </w:r>
    <w:r>
      <w:rPr>
        <w:rFonts w:ascii="宋体" w:hAnsi="宋体" w:eastAsia="宋体" w:cs="宋体"/>
        <w:sz w:val="18"/>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32</w:t>
    </w:r>
    <w:r>
      <w:rPr>
        <w:rFonts w:ascii="宋体" w:hAnsi="宋体" w:eastAsia="宋体" w:cs="宋体"/>
        <w:sz w:val="18"/>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34</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w:t>
    </w:r>
    <w:r>
      <w:rPr>
        <w:rFonts w:ascii="宋体" w:hAnsi="宋体" w:eastAsia="宋体" w:cs="宋体"/>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w:t>
    </w:r>
    <w:r>
      <w:rPr>
        <w:rFonts w:ascii="宋体" w:hAnsi="宋体" w:eastAsia="宋体" w:cs="宋体"/>
        <w:sz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5</w:t>
    </w:r>
    <w:r>
      <w:rPr>
        <w:rFonts w:ascii="宋体" w:hAnsi="宋体" w:eastAsia="宋体" w:cs="宋体"/>
        <w:sz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8</w:t>
    </w:r>
    <w:r>
      <w:rPr>
        <w:rFonts w:ascii="宋体" w:hAnsi="宋体" w:eastAsia="宋体" w:cs="宋体"/>
        <w:sz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11</w:t>
    </w:r>
    <w:r>
      <w:rPr>
        <w:rFonts w:ascii="宋体" w:hAnsi="宋体" w:eastAsia="宋体" w:cs="宋体"/>
        <w:sz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14</w:t>
    </w:r>
    <w:r>
      <w:rPr>
        <w:rFonts w:ascii="宋体" w:hAnsi="宋体" w:eastAsia="宋体" w:cs="宋体"/>
        <w:sz w:val="1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16</w:t>
    </w:r>
    <w:r>
      <w:rPr>
        <w:rFonts w:ascii="宋体" w:hAnsi="宋体" w:eastAsia="宋体" w:cs="宋体"/>
        <w:sz w:val="1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71C60"/>
    <w:rsid w:val="70733F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仿宋"/>
      <w:bCs/>
      <w:kern w:val="44"/>
      <w:sz w:val="32"/>
      <w:szCs w:val="44"/>
    </w:rPr>
  </w:style>
  <w:style w:type="paragraph" w:styleId="3">
    <w:name w:val="heading 2"/>
    <w:basedOn w:val="4"/>
    <w:next w:val="4"/>
    <w:qFormat/>
    <w:uiPriority w:val="0"/>
    <w:pPr>
      <w:keepNext/>
      <w:keepLines/>
      <w:spacing w:before="260" w:after="260" w:line="416" w:lineRule="auto"/>
      <w:outlineLvl w:val="1"/>
    </w:pPr>
    <w:rPr>
      <w:rFonts w:ascii="Arial" w:hAnsi="Arial" w:eastAsia="仿宋"/>
      <w:bCs/>
      <w:sz w:val="32"/>
      <w:szCs w:val="32"/>
    </w:rPr>
  </w:style>
  <w:style w:type="paragraph" w:styleId="5">
    <w:name w:val="heading 3"/>
    <w:basedOn w:val="4"/>
    <w:next w:val="4"/>
    <w:link w:val="23"/>
    <w:qFormat/>
    <w:uiPriority w:val="0"/>
    <w:pPr>
      <w:keepNext/>
      <w:keepLines/>
      <w:spacing w:before="260" w:after="260" w:line="416" w:lineRule="auto"/>
      <w:outlineLvl w:val="2"/>
    </w:pPr>
    <w:rPr>
      <w:rFonts w:eastAsia="仿宋"/>
      <w:bCs/>
      <w:sz w:val="32"/>
      <w:szCs w:val="32"/>
    </w:rPr>
  </w:style>
  <w:style w:type="paragraph" w:styleId="6">
    <w:name w:val="heading 4"/>
    <w:basedOn w:val="4"/>
    <w:next w:val="4"/>
    <w:link w:val="24"/>
    <w:qFormat/>
    <w:uiPriority w:val="0"/>
    <w:pPr>
      <w:keepNext/>
      <w:keepLines/>
      <w:spacing w:before="280" w:after="290" w:line="376" w:lineRule="auto"/>
      <w:outlineLvl w:val="3"/>
    </w:pPr>
    <w:rPr>
      <w:rFonts w:ascii="Cambria" w:hAnsi="Cambria" w:eastAsia="仿宋"/>
      <w:bCs/>
      <w:sz w:val="32"/>
      <w:szCs w:val="28"/>
    </w:rPr>
  </w:style>
  <w:style w:type="character" w:default="1" w:styleId="19">
    <w:name w:val="Default Paragraph Font"/>
    <w:unhideWhenUsed/>
    <w:qFormat/>
    <w:uiPriority w:val="1"/>
  </w:style>
  <w:style w:type="table" w:default="1" w:styleId="22">
    <w:name w:val="Normal Table"/>
    <w:unhideWhenUsed/>
    <w:qFormat/>
    <w:uiPriority w:val="99"/>
    <w:tblPr>
      <w:tblLayout w:type="fixed"/>
      <w:tblCellMar>
        <w:top w:w="0" w:type="dxa"/>
        <w:left w:w="108" w:type="dxa"/>
        <w:bottom w:w="0" w:type="dxa"/>
        <w:right w:w="108" w:type="dxa"/>
      </w:tblCellMar>
    </w:tblPr>
  </w:style>
  <w:style w:type="paragraph" w:customStyle="1" w:styleId="4">
    <w:name w:val="No Spacing"/>
    <w:link w:val="25"/>
    <w:qFormat/>
    <w:uiPriority w:val="0"/>
    <w:pPr>
      <w:ind w:firstLine="200" w:firstLineChars="200"/>
    </w:pPr>
    <w:rPr>
      <w:rFonts w:ascii="Times New Roman" w:hAnsi="Times New Roman" w:eastAsia="仿宋_GB2312" w:cs="Times New Roman"/>
      <w:sz w:val="30"/>
      <w:szCs w:val="22"/>
      <w:lang w:val="en-US" w:eastAsia="zh-CN" w:bidi="ar-SA"/>
    </w:rPr>
  </w:style>
  <w:style w:type="paragraph" w:styleId="7">
    <w:name w:val="toc 7"/>
    <w:basedOn w:val="1"/>
    <w:next w:val="1"/>
    <w:qFormat/>
    <w:uiPriority w:val="0"/>
    <w:pPr>
      <w:ind w:left="1260"/>
      <w:jc w:val="left"/>
    </w:pPr>
    <w:rPr>
      <w:sz w:val="20"/>
      <w:szCs w:val="20"/>
    </w:rPr>
  </w:style>
  <w:style w:type="paragraph" w:styleId="8">
    <w:name w:val="Document Map"/>
    <w:basedOn w:val="1"/>
    <w:qFormat/>
    <w:uiPriority w:val="0"/>
    <w:pPr>
      <w:shd w:val="clear" w:color="auto" w:fill="000080"/>
    </w:pPr>
  </w:style>
  <w:style w:type="paragraph" w:styleId="9">
    <w:name w:val="toc 5"/>
    <w:basedOn w:val="1"/>
    <w:next w:val="1"/>
    <w:qFormat/>
    <w:uiPriority w:val="0"/>
    <w:pPr>
      <w:ind w:left="840"/>
      <w:jc w:val="left"/>
    </w:pPr>
    <w:rPr>
      <w:sz w:val="20"/>
      <w:szCs w:val="20"/>
    </w:rPr>
  </w:style>
  <w:style w:type="paragraph" w:styleId="10">
    <w:name w:val="toc 3"/>
    <w:next w:val="5"/>
    <w:qFormat/>
    <w:uiPriority w:val="0"/>
    <w:pPr>
      <w:adjustRightInd w:val="0"/>
      <w:snapToGrid w:val="0"/>
      <w:spacing w:line="360" w:lineRule="auto"/>
      <w:ind w:firstLine="400" w:firstLineChars="400"/>
      <w:jc w:val="left"/>
    </w:pPr>
    <w:rPr>
      <w:rFonts w:ascii="Times New Roman" w:hAnsi="Times New Roman" w:eastAsia="仿宋" w:cs="Times New Roman"/>
      <w:sz w:val="32"/>
      <w:szCs w:val="20"/>
      <w:lang w:val="en-US" w:eastAsia="en-US" w:bidi="ar-SA"/>
    </w:rPr>
  </w:style>
  <w:style w:type="paragraph" w:styleId="11">
    <w:name w:val="toc 8"/>
    <w:basedOn w:val="1"/>
    <w:next w:val="1"/>
    <w:qFormat/>
    <w:uiPriority w:val="0"/>
    <w:pPr>
      <w:ind w:left="1470"/>
      <w:jc w:val="left"/>
    </w:pPr>
    <w:rPr>
      <w:sz w:val="20"/>
      <w:szCs w:val="20"/>
    </w:rPr>
  </w:style>
  <w:style w:type="paragraph" w:styleId="12">
    <w:name w:val="footer"/>
    <w:basedOn w:val="1"/>
    <w:link w:val="26"/>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next w:val="4"/>
    <w:qFormat/>
    <w:uiPriority w:val="0"/>
    <w:pPr>
      <w:adjustRightInd w:val="0"/>
      <w:snapToGrid w:val="0"/>
      <w:spacing w:line="360" w:lineRule="auto"/>
      <w:jc w:val="left"/>
    </w:pPr>
    <w:rPr>
      <w:rFonts w:ascii="Times New Roman" w:hAnsi="Times New Roman" w:eastAsia="仿宋" w:cs="Times New Roman"/>
      <w:bCs/>
      <w:sz w:val="32"/>
      <w:szCs w:val="20"/>
      <w:lang w:val="en-US" w:eastAsia="en-US" w:bidi="ar-SA"/>
    </w:rPr>
  </w:style>
  <w:style w:type="paragraph" w:styleId="15">
    <w:name w:val="toc 4"/>
    <w:basedOn w:val="1"/>
    <w:next w:val="1"/>
    <w:qFormat/>
    <w:uiPriority w:val="0"/>
    <w:pPr>
      <w:ind w:left="630"/>
      <w:jc w:val="left"/>
    </w:pPr>
    <w:rPr>
      <w:sz w:val="20"/>
      <w:szCs w:val="20"/>
    </w:rPr>
  </w:style>
  <w:style w:type="paragraph" w:styleId="16">
    <w:name w:val="toc 6"/>
    <w:basedOn w:val="1"/>
    <w:next w:val="1"/>
    <w:qFormat/>
    <w:uiPriority w:val="0"/>
    <w:pPr>
      <w:ind w:left="1050"/>
      <w:jc w:val="left"/>
    </w:pPr>
    <w:rPr>
      <w:sz w:val="20"/>
      <w:szCs w:val="20"/>
    </w:rPr>
  </w:style>
  <w:style w:type="paragraph" w:styleId="17">
    <w:name w:val="toc 2"/>
    <w:next w:val="4"/>
    <w:qFormat/>
    <w:uiPriority w:val="0"/>
    <w:pPr>
      <w:adjustRightInd w:val="0"/>
      <w:snapToGrid w:val="0"/>
      <w:spacing w:line="360" w:lineRule="auto"/>
      <w:ind w:firstLine="200" w:firstLineChars="200"/>
      <w:jc w:val="left"/>
    </w:pPr>
    <w:rPr>
      <w:rFonts w:ascii="Times New Roman" w:hAnsi="Times New Roman" w:eastAsia="仿宋" w:cs="Times New Roman"/>
      <w:b/>
      <w:iCs/>
      <w:sz w:val="32"/>
      <w:szCs w:val="20"/>
      <w:lang w:val="en-US" w:eastAsia="en-US" w:bidi="ar-SA"/>
    </w:rPr>
  </w:style>
  <w:style w:type="paragraph" w:styleId="18">
    <w:name w:val="toc 9"/>
    <w:basedOn w:val="1"/>
    <w:next w:val="1"/>
    <w:qFormat/>
    <w:uiPriority w:val="0"/>
    <w:pPr>
      <w:ind w:left="1680"/>
      <w:jc w:val="left"/>
    </w:pPr>
    <w:rPr>
      <w:sz w:val="20"/>
      <w:szCs w:val="20"/>
    </w:rPr>
  </w:style>
  <w:style w:type="character" w:styleId="20">
    <w:name w:val="page number"/>
    <w:basedOn w:val="19"/>
    <w:qFormat/>
    <w:uiPriority w:val="0"/>
  </w:style>
  <w:style w:type="character" w:styleId="21">
    <w:name w:val="Hyperlink"/>
    <w:qFormat/>
    <w:uiPriority w:val="0"/>
    <w:rPr>
      <w:rFonts w:ascii="宋体" w:hAnsi="宋体" w:eastAsia="仿宋" w:cs="Times New Roman"/>
      <w:kern w:val="2"/>
      <w:sz w:val="32"/>
      <w:szCs w:val="32"/>
      <w:lang w:val="en-US" w:eastAsia="zh-CN" w:bidi="ar-SA"/>
    </w:rPr>
  </w:style>
  <w:style w:type="character" w:customStyle="1" w:styleId="23">
    <w:name w:val="标题 3 字符"/>
    <w:basedOn w:val="19"/>
    <w:link w:val="5"/>
    <w:qFormat/>
    <w:uiPriority w:val="0"/>
    <w:rPr>
      <w:rFonts w:eastAsia="仿宋"/>
      <w:bCs/>
      <w:kern w:val="2"/>
      <w:sz w:val="32"/>
      <w:szCs w:val="32"/>
    </w:rPr>
  </w:style>
  <w:style w:type="character" w:customStyle="1" w:styleId="24">
    <w:name w:val="标题 4 字符"/>
    <w:basedOn w:val="19"/>
    <w:link w:val="6"/>
    <w:qFormat/>
    <w:uiPriority w:val="0"/>
    <w:rPr>
      <w:rFonts w:ascii="Cambria" w:hAnsi="Cambria" w:eastAsia="仿宋"/>
      <w:bCs/>
      <w:kern w:val="2"/>
      <w:sz w:val="32"/>
      <w:szCs w:val="28"/>
    </w:rPr>
  </w:style>
  <w:style w:type="character" w:customStyle="1" w:styleId="25">
    <w:name w:val="无间隔 字符"/>
    <w:link w:val="4"/>
    <w:qFormat/>
    <w:locked/>
    <w:uiPriority w:val="0"/>
    <w:rPr>
      <w:rFonts w:eastAsia="仿宋_GB2312"/>
      <w:sz w:val="30"/>
      <w:szCs w:val="22"/>
      <w:lang w:bidi="ar-SA"/>
    </w:rPr>
  </w:style>
  <w:style w:type="character" w:customStyle="1" w:styleId="26">
    <w:name w:val="页脚 字符"/>
    <w:basedOn w:val="19"/>
    <w:link w:val="12"/>
    <w:qFormat/>
    <w:uiPriority w:val="0"/>
    <w:rPr>
      <w:kern w:val="2"/>
      <w:sz w:val="18"/>
      <w:szCs w:val="18"/>
    </w:rPr>
  </w:style>
  <w:style w:type="paragraph" w:customStyle="1" w:styleId="27">
    <w:name w:val="List Paragraph"/>
    <w:basedOn w:val="1"/>
    <w:qFormat/>
    <w:uiPriority w:val="0"/>
    <w:pPr>
      <w:ind w:firstLine="420" w:firstLineChars="200"/>
    </w:pPr>
  </w:style>
  <w:style w:type="paragraph" w:customStyle="1" w:styleId="28">
    <w:name w:val="MsoNormal"/>
    <w:basedOn w:val="1"/>
    <w:qFormat/>
    <w:uiPriority w:val="0"/>
  </w:style>
  <w:style w:type="paragraph" w:customStyle="1" w:styleId="29">
    <w:name w:val="p"/>
    <w:basedOn w:val="1"/>
    <w:uiPriority w:val="0"/>
  </w:style>
  <w:style w:type="character" w:customStyle="1" w:styleId="30">
    <w:name w:val="15"/>
    <w:basedOn w:val="19"/>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7" Type="http://schemas.openxmlformats.org/officeDocument/2006/relationships/fontTable" Target="fontTable.xml"/><Relationship Id="rId46" Type="http://schemas.openxmlformats.org/officeDocument/2006/relationships/customXml" Target="../customXml/item2.xml"/><Relationship Id="rId45" Type="http://schemas.openxmlformats.org/officeDocument/2006/relationships/customXml" Target="../customXml/item1.xml"/><Relationship Id="rId44" Type="http://schemas.openxmlformats.org/officeDocument/2006/relationships/image" Target="media/image11.emf"/><Relationship Id="rId43" Type="http://schemas.openxmlformats.org/officeDocument/2006/relationships/oleObject" Target="embeddings/oleObject11.bin"/><Relationship Id="rId42" Type="http://schemas.openxmlformats.org/officeDocument/2006/relationships/image" Target="media/image10.emf"/><Relationship Id="rId41" Type="http://schemas.openxmlformats.org/officeDocument/2006/relationships/oleObject" Target="embeddings/oleObject10.bin"/><Relationship Id="rId40" Type="http://schemas.openxmlformats.org/officeDocument/2006/relationships/image" Target="media/image9.emf"/><Relationship Id="rId4" Type="http://schemas.openxmlformats.org/officeDocument/2006/relationships/footer" Target="footer1.xml"/><Relationship Id="rId39" Type="http://schemas.openxmlformats.org/officeDocument/2006/relationships/oleObject" Target="embeddings/oleObject9.bin"/><Relationship Id="rId38" Type="http://schemas.openxmlformats.org/officeDocument/2006/relationships/image" Target="media/image8.emf"/><Relationship Id="rId37" Type="http://schemas.openxmlformats.org/officeDocument/2006/relationships/oleObject" Target="embeddings/oleObject8.bin"/><Relationship Id="rId36" Type="http://schemas.openxmlformats.org/officeDocument/2006/relationships/image" Target="media/image7.emf"/><Relationship Id="rId35" Type="http://schemas.openxmlformats.org/officeDocument/2006/relationships/oleObject" Target="embeddings/oleObject7.bin"/><Relationship Id="rId34" Type="http://schemas.openxmlformats.org/officeDocument/2006/relationships/image" Target="media/image6.emf"/><Relationship Id="rId33" Type="http://schemas.openxmlformats.org/officeDocument/2006/relationships/oleObject" Target="embeddings/oleObject6.bin"/><Relationship Id="rId32" Type="http://schemas.openxmlformats.org/officeDocument/2006/relationships/image" Target="media/image5.emf"/><Relationship Id="rId31" Type="http://schemas.openxmlformats.org/officeDocument/2006/relationships/oleObject" Target="embeddings/oleObject5.bin"/><Relationship Id="rId30" Type="http://schemas.openxmlformats.org/officeDocument/2006/relationships/image" Target="media/image4.emf"/><Relationship Id="rId3" Type="http://schemas.openxmlformats.org/officeDocument/2006/relationships/header" Target="header1.xml"/><Relationship Id="rId29" Type="http://schemas.openxmlformats.org/officeDocument/2006/relationships/oleObject" Target="embeddings/oleObject4.bin"/><Relationship Id="rId28" Type="http://schemas.openxmlformats.org/officeDocument/2006/relationships/image" Target="media/image3.emf"/><Relationship Id="rId27" Type="http://schemas.openxmlformats.org/officeDocument/2006/relationships/oleObject" Target="embeddings/oleObject3.bin"/><Relationship Id="rId26" Type="http://schemas.openxmlformats.org/officeDocument/2006/relationships/image" Target="media/image2.emf"/><Relationship Id="rId25" Type="http://schemas.openxmlformats.org/officeDocument/2006/relationships/oleObject" Target="embeddings/oleObject2.bin"/><Relationship Id="rId24" Type="http://schemas.openxmlformats.org/officeDocument/2006/relationships/image" Target="media/image1.emf"/><Relationship Id="rId23" Type="http://schemas.openxmlformats.org/officeDocument/2006/relationships/oleObject" Target="embeddings/oleObject1.bin"/><Relationship Id="rId22" Type="http://schemas.openxmlformats.org/officeDocument/2006/relationships/theme" Target="theme/theme1.xml"/><Relationship Id="rId21" Type="http://schemas.openxmlformats.org/officeDocument/2006/relationships/footer" Target="footer18.xml"/><Relationship Id="rId20" Type="http://schemas.openxmlformats.org/officeDocument/2006/relationships/footer" Target="footer17.xml"/><Relationship Id="rId2" Type="http://schemas.openxmlformats.org/officeDocument/2006/relationships/settings" Target="settings.xml"/><Relationship Id="rId19" Type="http://schemas.openxmlformats.org/officeDocument/2006/relationships/footer" Target="footer16.xml"/><Relationship Id="rId18" Type="http://schemas.openxmlformats.org/officeDocument/2006/relationships/footer" Target="footer15.xml"/><Relationship Id="rId17" Type="http://schemas.openxmlformats.org/officeDocument/2006/relationships/footer" Target="footer14.xml"/><Relationship Id="rId16" Type="http://schemas.openxmlformats.org/officeDocument/2006/relationships/footer" Target="footer13.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37</Pages>
  <Words>20</Words>
  <Characters>35</Characters>
  <Lines>1</Lines>
  <Paragraphs>1</Paragraphs>
  <TotalTime>12</TotalTime>
  <ScaleCrop>false</ScaleCrop>
  <LinksUpToDate>false</LinksUpToDate>
  <CharactersWithSpaces>36</CharactersWithSpaces>
  <Application>WPS Office_10.8.0.6470_F1E327BC-269C-435d-A152-05C5408002CA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Administrator</cp:lastModifiedBy>
  <cp:lastPrinted>2021-04-16T00:45:00Z</cp:lastPrinted>
  <dcterms:modified xsi:type="dcterms:W3CDTF">2026-08-13T03:55:33Z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66C67484C41D4C05B3487E28FB439B3F_13</vt:lpwstr>
  </property>
  <property fmtid="{D5CDD505-2E9C-101B-9397-08002B2CF9AE}" pid="3" name="KSOProductBuildVer">
    <vt:lpwstr>2052-10.8.0.6470</vt:lpwstr>
  </property>
  <property fmtid="{D5CDD505-2E9C-101B-9397-08002B2CF9AE}" pid="4" name="KSOTemplateDocerSaveRecord">
    <vt:lpwstr>eyJoZGlkIjoiMjBmNzFhNTE2ODA4NWNjMzY3MDUyM2Q1MGJjODVmODYiLCJ1c2VySWQiOiIzNzI5MDg1NDQifQ==</vt:lpwstr>
  </property>
</Properties>
</file>