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3A76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微软雅黑" w:hAnsi="微软雅黑" w:eastAsia="微软雅黑" w:cs="微软雅黑"/>
          <w:b/>
          <w:bCs/>
          <w:color w:val="auto"/>
          <w:sz w:val="40"/>
          <w:szCs w:val="40"/>
          <w:highlight w:val="none"/>
          <w:lang w:val="en-US" w:eastAsia="zh-CN"/>
        </w:rPr>
      </w:pPr>
      <w:bookmarkStart w:id="0" w:name="_Hlk192235212"/>
      <w:r>
        <w:rPr>
          <w:rFonts w:hint="eastAsia" w:ascii="微软雅黑" w:hAnsi="微软雅黑" w:eastAsia="微软雅黑" w:cs="微软雅黑"/>
          <w:b/>
          <w:bCs/>
          <w:color w:val="auto"/>
          <w:sz w:val="40"/>
          <w:szCs w:val="40"/>
          <w:highlight w:val="none"/>
          <w:lang w:val="en-US" w:eastAsia="zh-CN"/>
        </w:rPr>
        <w:t>闽清县闽江创业投资基金管理人</w:t>
      </w:r>
    </w:p>
    <w:p w14:paraId="50960C0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方正小标宋_GBK" w:hAnsi="方正小标宋_GBK" w:eastAsia="方正小标宋_GBK" w:cs="方正小标宋_GBK"/>
          <w:b/>
          <w:bCs/>
          <w:color w:val="auto"/>
          <w:sz w:val="40"/>
          <w:szCs w:val="40"/>
          <w:highlight w:val="none"/>
        </w:rPr>
      </w:pPr>
      <w:r>
        <w:rPr>
          <w:rFonts w:hint="eastAsia" w:ascii="微软雅黑" w:hAnsi="微软雅黑" w:eastAsia="微软雅黑" w:cs="微软雅黑"/>
          <w:b/>
          <w:bCs/>
          <w:color w:val="auto"/>
          <w:sz w:val="40"/>
          <w:szCs w:val="40"/>
          <w:highlight w:val="none"/>
          <w:lang w:eastAsia="zh-CN"/>
        </w:rPr>
        <w:t>征集</w:t>
      </w:r>
      <w:r>
        <w:rPr>
          <w:rFonts w:hint="eastAsia" w:ascii="微软雅黑" w:hAnsi="微软雅黑" w:eastAsia="微软雅黑" w:cs="微软雅黑"/>
          <w:b/>
          <w:bCs/>
          <w:color w:val="auto"/>
          <w:sz w:val="40"/>
          <w:szCs w:val="40"/>
          <w:highlight w:val="none"/>
        </w:rPr>
        <w:t>申报指南</w:t>
      </w:r>
      <w:bookmarkEnd w:id="0"/>
    </w:p>
    <w:p w14:paraId="0F2F8915">
      <w:pPr>
        <w:spacing w:line="560" w:lineRule="exact"/>
        <w:ind w:firstLine="800" w:firstLineChars="200"/>
        <w:jc w:val="center"/>
        <w:rPr>
          <w:rFonts w:ascii="仿宋_GB2312" w:hAnsi="仿宋_GB2312" w:eastAsia="仿宋_GB2312" w:cs="仿宋_GB2312"/>
          <w:color w:val="auto"/>
          <w:sz w:val="40"/>
          <w:szCs w:val="40"/>
          <w:highlight w:val="none"/>
        </w:rPr>
      </w:pPr>
    </w:p>
    <w:p w14:paraId="3FBCE3F1">
      <w:pPr>
        <w:pageBreakBefore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为深入贯彻落实国家及省、市关于培育新质生产力、推动产业转型升级的战略部署，有效发挥财政资金杠杆效应，撬动社会资本赋能产业发展，</w:t>
      </w:r>
      <w:r>
        <w:rPr>
          <w:rFonts w:hint="eastAsia" w:cs="仿宋_GB2312"/>
          <w:color w:val="auto"/>
          <w:sz w:val="32"/>
          <w:szCs w:val="32"/>
          <w:highlight w:val="none"/>
          <w:lang w:val="en-US" w:eastAsia="zh-CN"/>
        </w:rPr>
        <w:t>闽清县政府</w:t>
      </w:r>
      <w:r>
        <w:rPr>
          <w:rFonts w:hint="eastAsia" w:ascii="仿宋_GB2312" w:hAnsi="仿宋_GB2312" w:eastAsia="仿宋_GB2312" w:cs="仿宋_GB2312"/>
          <w:color w:val="auto"/>
          <w:sz w:val="32"/>
          <w:szCs w:val="32"/>
          <w:highlight w:val="none"/>
          <w:lang w:val="en-US" w:eastAsia="zh-CN"/>
        </w:rPr>
        <w:t>拟以闽清县产业投资有限公司作为主发起人，吸引优质基金管理</w:t>
      </w:r>
      <w:r>
        <w:rPr>
          <w:rFonts w:hint="eastAsia"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en-US" w:eastAsia="zh-CN"/>
        </w:rPr>
        <w:t>共同发起设立闽清县闽江创业投资基金（暂定名，以市场监督管理部门最终核准结果为准）。</w:t>
      </w:r>
    </w:p>
    <w:p w14:paraId="2B7BD836">
      <w:pPr>
        <w:pStyle w:val="27"/>
        <w:bidi w:val="0"/>
        <w:rPr>
          <w:rFonts w:hint="eastAsia"/>
          <w:color w:val="auto"/>
          <w:highlight w:val="none"/>
        </w:rPr>
      </w:pPr>
      <w:r>
        <w:rPr>
          <w:rFonts w:hint="eastAsia"/>
          <w:color w:val="auto"/>
          <w:highlight w:val="none"/>
          <w:lang w:val="en-US" w:eastAsia="zh-CN"/>
        </w:rPr>
        <w:t>一、</w:t>
      </w:r>
      <w:r>
        <w:rPr>
          <w:rFonts w:hint="eastAsia"/>
          <w:color w:val="auto"/>
          <w:highlight w:val="none"/>
        </w:rPr>
        <w:t>基金设立要求</w:t>
      </w:r>
    </w:p>
    <w:p w14:paraId="4FB94290">
      <w:pPr>
        <w:pStyle w:val="21"/>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rPr>
        <w:t>基本要素</w:t>
      </w:r>
    </w:p>
    <w:p w14:paraId="73AB9089">
      <w:pPr>
        <w:pStyle w:val="29"/>
        <w:bidi w:val="0"/>
        <w:rPr>
          <w:rFonts w:hint="eastAsia"/>
          <w:color w:val="auto"/>
          <w:highlight w:val="none"/>
        </w:rPr>
      </w:pPr>
      <w:r>
        <w:rPr>
          <w:rFonts w:hint="eastAsia"/>
          <w:color w:val="auto"/>
          <w:highlight w:val="none"/>
        </w:rPr>
        <w:t>1.基金名称</w:t>
      </w:r>
    </w:p>
    <w:p w14:paraId="246FF350">
      <w:pPr>
        <w:pStyle w:val="23"/>
        <w:bidi w:val="0"/>
        <w:rPr>
          <w:rFonts w:hint="eastAsia" w:eastAsia="仿宋_GB2312"/>
          <w:color w:val="auto"/>
          <w:highlight w:val="none"/>
          <w:lang w:eastAsia="zh-CN"/>
        </w:rPr>
      </w:pPr>
      <w:r>
        <w:rPr>
          <w:rFonts w:hint="eastAsia"/>
          <w:color w:val="auto"/>
          <w:highlight w:val="none"/>
        </w:rPr>
        <w:t>闽清县闽江创业投资基金，具体名称以工商核定为准</w:t>
      </w:r>
      <w:r>
        <w:rPr>
          <w:rFonts w:hint="eastAsia"/>
          <w:color w:val="auto"/>
          <w:highlight w:val="none"/>
          <w:lang w:eastAsia="zh-CN"/>
        </w:rPr>
        <w:t>。</w:t>
      </w:r>
    </w:p>
    <w:p w14:paraId="6817C791">
      <w:pPr>
        <w:pStyle w:val="29"/>
        <w:bidi w:val="0"/>
        <w:rPr>
          <w:rFonts w:hint="eastAsia"/>
          <w:color w:val="auto"/>
          <w:highlight w:val="none"/>
        </w:rPr>
      </w:pPr>
      <w:r>
        <w:rPr>
          <w:rFonts w:hint="eastAsia"/>
          <w:color w:val="auto"/>
          <w:highlight w:val="none"/>
        </w:rPr>
        <w:t>2.注册地址</w:t>
      </w:r>
    </w:p>
    <w:p w14:paraId="2E984A65">
      <w:pPr>
        <w:pStyle w:val="23"/>
        <w:bidi w:val="0"/>
        <w:rPr>
          <w:rFonts w:hint="eastAsia" w:eastAsia="仿宋_GB2312"/>
          <w:color w:val="auto"/>
          <w:highlight w:val="none"/>
          <w:lang w:eastAsia="zh-CN"/>
        </w:rPr>
      </w:pPr>
      <w:r>
        <w:rPr>
          <w:rFonts w:hint="eastAsia"/>
          <w:color w:val="auto"/>
          <w:highlight w:val="none"/>
          <w:lang w:val="en-US" w:eastAsia="zh-CN"/>
        </w:rPr>
        <w:t>闽清县</w:t>
      </w:r>
      <w:r>
        <w:rPr>
          <w:rFonts w:hint="eastAsia"/>
          <w:color w:val="auto"/>
          <w:highlight w:val="none"/>
          <w:lang w:eastAsia="zh-CN"/>
        </w:rPr>
        <w:t>。</w:t>
      </w:r>
    </w:p>
    <w:p w14:paraId="618DB3F7">
      <w:pPr>
        <w:pStyle w:val="29"/>
        <w:bidi w:val="0"/>
        <w:rPr>
          <w:rFonts w:hint="eastAsia"/>
          <w:color w:val="auto"/>
          <w:highlight w:val="none"/>
        </w:rPr>
      </w:pPr>
      <w:r>
        <w:rPr>
          <w:rFonts w:hint="eastAsia"/>
          <w:color w:val="auto"/>
          <w:highlight w:val="none"/>
        </w:rPr>
        <w:t>3.组织形式</w:t>
      </w:r>
    </w:p>
    <w:p w14:paraId="0C043654">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有限合伙企业。</w:t>
      </w:r>
    </w:p>
    <w:p w14:paraId="49A0EF68">
      <w:pPr>
        <w:pStyle w:val="29"/>
        <w:bidi w:val="0"/>
        <w:rPr>
          <w:rFonts w:hint="eastAsia"/>
          <w:color w:val="auto"/>
          <w:highlight w:val="none"/>
        </w:rPr>
      </w:pPr>
      <w:r>
        <w:rPr>
          <w:rFonts w:hint="eastAsia"/>
          <w:color w:val="auto"/>
          <w:highlight w:val="none"/>
        </w:rPr>
        <w:t>4.设立规模</w:t>
      </w:r>
    </w:p>
    <w:p w14:paraId="027B824B">
      <w:pPr>
        <w:pStyle w:val="23"/>
        <w:bidi w:val="0"/>
        <w:rPr>
          <w:rFonts w:hint="eastAsia"/>
          <w:lang w:val="en-US" w:eastAsia="zh-CN"/>
        </w:rPr>
      </w:pPr>
      <w:r>
        <w:rPr>
          <w:rFonts w:hint="eastAsia"/>
          <w:color w:val="auto"/>
          <w:highlight w:val="none"/>
          <w:lang w:val="en-US" w:eastAsia="zh-CN"/>
        </w:rPr>
        <w:t>基金注册规模10亿元人民币。首期实缴出资2000万元，剩余资金依据项目储备与投资进度分期到位。</w:t>
      </w:r>
    </w:p>
    <w:p w14:paraId="0D2F04D1">
      <w:pPr>
        <w:pStyle w:val="29"/>
        <w:bidi w:val="0"/>
        <w:rPr>
          <w:rFonts w:hint="eastAsia"/>
          <w:color w:val="auto"/>
          <w:highlight w:val="none"/>
        </w:rPr>
      </w:pPr>
      <w:r>
        <w:rPr>
          <w:rFonts w:hint="eastAsia"/>
          <w:color w:val="auto"/>
          <w:highlight w:val="none"/>
          <w:lang w:val="en-US" w:eastAsia="zh-CN"/>
        </w:rPr>
        <w:t>5</w:t>
      </w:r>
      <w:r>
        <w:rPr>
          <w:rFonts w:hint="eastAsia"/>
          <w:color w:val="auto"/>
          <w:highlight w:val="none"/>
        </w:rPr>
        <w:t>.出资比例</w:t>
      </w:r>
    </w:p>
    <w:p w14:paraId="53DA3548">
      <w:pPr>
        <w:pStyle w:val="23"/>
        <w:bidi w:val="0"/>
        <w:rPr>
          <w:rFonts w:hint="eastAsia"/>
          <w:lang w:val="en-US" w:eastAsia="zh-CN"/>
        </w:rPr>
      </w:pPr>
      <w:r>
        <w:rPr>
          <w:rFonts w:hint="eastAsia" w:cs="仿宋_GB2312"/>
          <w:color w:val="auto"/>
          <w:highlight w:val="none"/>
          <w:lang w:val="en-US" w:eastAsia="zh-CN"/>
        </w:rPr>
        <w:t>闽清县产业投资有限公司作为有限合伙人（LP），认缴比例99.99%；基金管理人作为普通合伙人（GP），认缴比例0.01%，全体合伙人按照各自认缴比例同时实缴资本金。</w:t>
      </w:r>
    </w:p>
    <w:p w14:paraId="6664BF48">
      <w:pPr>
        <w:pStyle w:val="29"/>
        <w:bidi w:val="0"/>
        <w:rPr>
          <w:rFonts w:hint="eastAsia"/>
          <w:color w:val="auto"/>
          <w:highlight w:val="none"/>
          <w:lang w:eastAsia="zh-CN"/>
        </w:rPr>
      </w:pPr>
      <w:r>
        <w:rPr>
          <w:rFonts w:hint="eastAsia"/>
          <w:color w:val="auto"/>
          <w:highlight w:val="none"/>
          <w:lang w:val="en-US" w:eastAsia="zh-CN"/>
        </w:rPr>
        <w:t>6</w:t>
      </w:r>
      <w:r>
        <w:rPr>
          <w:rFonts w:hint="eastAsia"/>
          <w:color w:val="auto"/>
          <w:highlight w:val="none"/>
        </w:rPr>
        <w:t>.基金</w:t>
      </w:r>
      <w:r>
        <w:rPr>
          <w:rFonts w:hint="eastAsia"/>
          <w:color w:val="auto"/>
          <w:highlight w:val="none"/>
          <w:lang w:val="en-US" w:eastAsia="zh-CN"/>
        </w:rPr>
        <w:t>存续期</w:t>
      </w:r>
    </w:p>
    <w:p w14:paraId="36A70FA6">
      <w:pPr>
        <w:pStyle w:val="23"/>
        <w:pageBreakBefore w:val="0"/>
        <w:kinsoku/>
        <w:wordWrap/>
        <w:overflowPunct w:val="0"/>
        <w:topLinePunct w:val="0"/>
        <w:autoSpaceDE/>
        <w:autoSpaceDN/>
        <w:bidi w:val="0"/>
        <w:adjustRightInd w:val="0"/>
        <w:snapToGrid w:val="0"/>
        <w:spacing w:line="560" w:lineRule="exact"/>
        <w:ind w:firstLineChars="200"/>
        <w:textAlignment w:val="auto"/>
        <w:outlineLvl w:val="2"/>
        <w:rPr>
          <w:rFonts w:hint="eastAsia" w:eastAsia="仿宋_GB2312"/>
          <w:lang w:val="en-US" w:eastAsia="zh-CN"/>
        </w:rPr>
      </w:pPr>
      <w:r>
        <w:rPr>
          <w:rFonts w:hint="eastAsia" w:ascii="仿宋_GB2312" w:hAnsi="仿宋_GB2312" w:eastAsia="仿宋_GB2312" w:cs="仿宋_GB2312"/>
          <w:color w:val="auto"/>
          <w:highlight w:val="none"/>
        </w:rPr>
        <w:t>基金存续期12年（投资期8年，退出期4年），经合伙人会议决议同意</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lang w:val="en-US" w:eastAsia="zh-CN"/>
        </w:rPr>
        <w:t>并报县政府批准后</w:t>
      </w:r>
      <w:r>
        <w:rPr>
          <w:rFonts w:hint="eastAsia" w:ascii="仿宋_GB2312" w:hAnsi="仿宋_GB2312" w:eastAsia="仿宋_GB2312" w:cs="仿宋_GB2312"/>
          <w:color w:val="auto"/>
          <w:highlight w:val="none"/>
        </w:rPr>
        <w:t>可以延长期限，每次</w:t>
      </w:r>
      <w:r>
        <w:rPr>
          <w:rFonts w:hint="default" w:ascii="仿宋_GB2312" w:hAnsi="仿宋_GB2312" w:cs="仿宋_GB2312"/>
          <w:color w:val="auto"/>
          <w:highlight w:val="none"/>
          <w:lang w:val="en"/>
          <w:woUserID w:val="1"/>
        </w:rPr>
        <w:t>延长期限</w:t>
      </w:r>
      <w:r>
        <w:rPr>
          <w:rFonts w:hint="eastAsia" w:ascii="仿宋_GB2312" w:hAnsi="仿宋_GB2312" w:eastAsia="仿宋_GB2312" w:cs="仿宋_GB2312"/>
          <w:color w:val="auto"/>
          <w:highlight w:val="none"/>
        </w:rPr>
        <w:t>不超过1年。</w:t>
      </w:r>
      <w:r>
        <w:rPr>
          <w:rFonts w:hint="eastAsia" w:ascii="仿宋_GB2312" w:hAnsi="仿宋_GB2312" w:cs="仿宋_GB2312"/>
          <w:color w:val="auto"/>
          <w:highlight w:val="none"/>
        </w:rPr>
        <w:t>子基金存续期限原则上不超过7年</w:t>
      </w:r>
      <w:r>
        <w:rPr>
          <w:rFonts w:hint="eastAsia" w:ascii="仿宋_GB2312" w:hAnsi="仿宋_GB2312" w:eastAsia="仿宋_GB2312" w:cs="仿宋_GB2312"/>
          <w:color w:val="auto"/>
          <w:highlight w:val="none"/>
        </w:rPr>
        <w:t>（投资期</w:t>
      </w:r>
      <w:r>
        <w:rPr>
          <w:rFonts w:hint="eastAsia" w:ascii="仿宋_GB2312" w:hAnsi="仿宋_GB2312" w:cs="仿宋_GB2312"/>
          <w:color w:val="auto"/>
          <w:highlight w:val="none"/>
          <w:lang w:val="en-US" w:eastAsia="zh-CN"/>
        </w:rPr>
        <w:t>4</w:t>
      </w:r>
      <w:r>
        <w:rPr>
          <w:rFonts w:hint="eastAsia" w:ascii="仿宋_GB2312" w:hAnsi="仿宋_GB2312" w:eastAsia="仿宋_GB2312" w:cs="仿宋_GB2312"/>
          <w:color w:val="auto"/>
          <w:highlight w:val="none"/>
        </w:rPr>
        <w:t>年，退出期</w:t>
      </w:r>
      <w:r>
        <w:rPr>
          <w:rFonts w:hint="eastAsia" w:ascii="仿宋_GB2312" w:hAnsi="仿宋_GB2312" w:cs="仿宋_GB2312"/>
          <w:color w:val="auto"/>
          <w:highlight w:val="none"/>
          <w:lang w:val="en-US" w:eastAsia="zh-CN"/>
        </w:rPr>
        <w:t>3</w:t>
      </w:r>
      <w:r>
        <w:rPr>
          <w:rFonts w:hint="eastAsia" w:ascii="仿宋_GB2312" w:hAnsi="仿宋_GB2312" w:eastAsia="仿宋_GB2312" w:cs="仿宋_GB2312"/>
          <w:color w:val="auto"/>
          <w:highlight w:val="none"/>
        </w:rPr>
        <w:t>年）</w:t>
      </w:r>
      <w:r>
        <w:rPr>
          <w:rFonts w:hint="eastAsia" w:ascii="仿宋_GB2312" w:hAnsi="仿宋_GB2312" w:cs="仿宋_GB2312"/>
          <w:color w:val="auto"/>
          <w:highlight w:val="none"/>
          <w:lang w:eastAsia="zh-CN"/>
        </w:rPr>
        <w:t>。</w:t>
      </w:r>
    </w:p>
    <w:p w14:paraId="1C20FB11">
      <w:pPr>
        <w:pageBreakBefore w:val="0"/>
        <w:kinsoku/>
        <w:wordWrap/>
        <w:overflowPunct w:val="0"/>
        <w:topLinePunct w:val="0"/>
        <w:autoSpaceDE/>
        <w:autoSpaceDN/>
        <w:bidi w:val="0"/>
        <w:adjustRightInd w:val="0"/>
        <w:snapToGrid w:val="0"/>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lang w:eastAsia="zh"/>
          <w:woUserID w:val="1"/>
        </w:rPr>
      </w:pPr>
      <w:r>
        <w:rPr>
          <w:rFonts w:hint="eastAsia" w:ascii="仿宋_GB2312" w:hAnsi="仿宋_GB2312" w:eastAsia="仿宋_GB2312" w:cs="仿宋_GB2312"/>
          <w:b/>
          <w:bCs/>
          <w:color w:val="auto"/>
          <w:sz w:val="32"/>
          <w:szCs w:val="32"/>
          <w:highlight w:val="none"/>
        </w:rPr>
        <w:t>7.管理费用</w:t>
      </w:r>
    </w:p>
    <w:p w14:paraId="20DE532E">
      <w:pPr>
        <w:pStyle w:val="23"/>
        <w:rPr>
          <w:rFonts w:hint="eastAsia"/>
          <w:color w:val="auto"/>
          <w:highlight w:val="none"/>
          <w:lang w:val="en-US" w:eastAsia="zh-CN"/>
        </w:rPr>
      </w:pPr>
      <w:r>
        <w:rPr>
          <w:rFonts w:hint="eastAsia" w:ascii="仿宋_GB2312" w:hAnsi="仿宋_GB2312" w:cs="仿宋_GB2312"/>
          <w:color w:val="auto"/>
          <w:szCs w:val="32"/>
          <w:highlight w:val="none"/>
        </w:rPr>
        <w:t>母基金管理费按实缴规模的1%/年计提，实行跨年度考核支付机制。其中，基金设立首年，管理费按实缴规模的1%全额支付；自第二个年度起，实行分期支付，每年度先行支付实缴规模的0.5%，剩余0.5%待年度绩效考核结束后，依据考核结果予以支付。年度绩效考核于次年1月31日前完成，并于考核结束后10个工作日内计提相应管理费。若母基金与子基金管理人同一，母基金层面不重复收取管理费。子基金管理费率原则上不超过实缴出资额的2%/年。延长期内不收管理费。</w:t>
      </w:r>
    </w:p>
    <w:p w14:paraId="49485240">
      <w:pPr>
        <w:pStyle w:val="23"/>
        <w:rPr>
          <w:rFonts w:hint="eastAsia" w:ascii="仿宋_GB2312" w:hAnsi="仿宋_GB2312" w:eastAsia="仿宋_GB2312" w:cs="仿宋_GB2312"/>
          <w:color w:val="auto"/>
          <w:sz w:val="32"/>
          <w:szCs w:val="32"/>
          <w:highlight w:val="none"/>
          <w:lang w:eastAsia="zh-CN"/>
        </w:rPr>
      </w:pPr>
      <w:r>
        <w:rPr>
          <w:rFonts w:hint="eastAsia"/>
          <w:color w:val="auto"/>
          <w:highlight w:val="none"/>
          <w:lang w:val="en-US" w:eastAsia="zh-CN"/>
        </w:rPr>
        <w:t>注：最终以合伙协议约定为准。</w:t>
      </w:r>
    </w:p>
    <w:p w14:paraId="349166A1">
      <w:pPr>
        <w:pStyle w:val="29"/>
        <w:bidi w:val="0"/>
        <w:rPr>
          <w:rFonts w:hint="eastAsia"/>
          <w:color w:val="auto"/>
          <w:highlight w:val="none"/>
          <w:lang w:eastAsia="zh-CN"/>
        </w:rPr>
      </w:pPr>
      <w:r>
        <w:rPr>
          <w:rFonts w:hint="eastAsia"/>
          <w:color w:val="auto"/>
          <w:highlight w:val="none"/>
          <w:lang w:val="en-US" w:eastAsia="zh-CN"/>
        </w:rPr>
        <w:t>8</w:t>
      </w:r>
      <w:r>
        <w:rPr>
          <w:rFonts w:hint="eastAsia"/>
          <w:color w:val="auto"/>
          <w:highlight w:val="none"/>
        </w:rPr>
        <w:t>.基金治理结构和组织架构</w:t>
      </w:r>
    </w:p>
    <w:p w14:paraId="2AB0A06F">
      <w:pPr>
        <w:bidi w:val="0"/>
        <w:spacing w:line="560" w:lineRule="exact"/>
        <w:ind w:firstLine="640"/>
        <w:rPr>
          <w:rFonts w:hint="eastAsia" w:cs="仿宋_GB2312"/>
          <w:color w:val="000000"/>
          <w:szCs w:val="32"/>
          <w:highlight w:val="none"/>
          <w:lang w:eastAsia="zh-CN"/>
        </w:rPr>
      </w:pPr>
      <w:r>
        <w:rPr>
          <w:rFonts w:hint="eastAsia"/>
          <w:color w:val="auto"/>
          <w:highlight w:val="none"/>
          <w:lang w:eastAsia="zh-CN"/>
        </w:rPr>
        <w:t>本基金运作管理架构包括基金监督管理委员会、基金决策机构</w:t>
      </w:r>
      <w:r>
        <w:rPr>
          <w:rFonts w:hint="eastAsia"/>
          <w:color w:val="auto"/>
          <w:highlight w:val="none"/>
          <w:lang w:eastAsia="zh"/>
          <w:woUserID w:val="1"/>
        </w:rPr>
        <w:t>（投资决策委员会）</w:t>
      </w:r>
      <w:r>
        <w:rPr>
          <w:rFonts w:hint="eastAsia"/>
          <w:color w:val="auto"/>
          <w:highlight w:val="none"/>
          <w:lang w:eastAsia="zh-CN"/>
        </w:rPr>
        <w:t>、技术评审小组、基金管理</w:t>
      </w:r>
      <w:r>
        <w:rPr>
          <w:rFonts w:hint="eastAsia"/>
          <w:color w:val="auto"/>
          <w:highlight w:val="none"/>
          <w:lang w:val="en-US" w:eastAsia="zh-CN"/>
        </w:rPr>
        <w:t>人</w:t>
      </w:r>
      <w:r>
        <w:rPr>
          <w:rFonts w:hint="eastAsia"/>
          <w:color w:val="auto"/>
          <w:highlight w:val="none"/>
          <w:lang w:eastAsia="zh-CN"/>
        </w:rPr>
        <w:t>等，按</w:t>
      </w:r>
      <w:r>
        <w:rPr>
          <w:rFonts w:hint="eastAsia"/>
          <w:color w:val="auto"/>
          <w:highlight w:val="none"/>
          <w:lang w:eastAsia="zh"/>
          <w:woUserID w:val="1"/>
        </w:rPr>
        <w:t>相关规定及</w:t>
      </w:r>
      <w:r>
        <w:rPr>
          <w:rFonts w:hint="eastAsia"/>
          <w:color w:val="auto"/>
          <w:highlight w:val="none"/>
          <w:lang w:eastAsia="zh-CN"/>
        </w:rPr>
        <w:t>基金合伙协议约定决策基金</w:t>
      </w:r>
      <w:r>
        <w:rPr>
          <w:rFonts w:hint="eastAsia"/>
          <w:color w:val="auto"/>
          <w:highlight w:val="none"/>
          <w:lang w:val="en-US" w:eastAsia="zh-CN"/>
        </w:rPr>
        <w:t>相关</w:t>
      </w:r>
      <w:r>
        <w:rPr>
          <w:rFonts w:hint="eastAsia"/>
          <w:color w:val="auto"/>
          <w:highlight w:val="none"/>
          <w:lang w:eastAsia="zh-CN"/>
        </w:rPr>
        <w:t>事务。基金管理</w:t>
      </w:r>
      <w:r>
        <w:rPr>
          <w:rFonts w:hint="eastAsia"/>
          <w:color w:val="auto"/>
          <w:highlight w:val="none"/>
          <w:lang w:val="en-US" w:eastAsia="zh-CN"/>
        </w:rPr>
        <w:t>人</w:t>
      </w:r>
      <w:r>
        <w:rPr>
          <w:rFonts w:hint="eastAsia"/>
          <w:color w:val="auto"/>
          <w:highlight w:val="none"/>
        </w:rPr>
        <w:t>负责投资决策委员会组建及运作</w:t>
      </w:r>
      <w:r>
        <w:rPr>
          <w:rFonts w:hint="eastAsia"/>
          <w:color w:val="auto"/>
          <w:highlight w:val="none"/>
          <w:lang w:eastAsia="zh-CN"/>
        </w:rPr>
        <w:t>，</w:t>
      </w:r>
      <w:r>
        <w:rPr>
          <w:rFonts w:hint="eastAsia"/>
          <w:color w:val="auto"/>
          <w:highlight w:val="none"/>
        </w:rPr>
        <w:t>投资决策委员会拟设</w:t>
      </w:r>
      <w:r>
        <w:rPr>
          <w:rFonts w:hint="eastAsia"/>
          <w:color w:val="auto"/>
          <w:highlight w:val="none"/>
          <w:lang w:val="en-US" w:eastAsia="zh-CN"/>
        </w:rPr>
        <w:t>5</w:t>
      </w:r>
      <w:r>
        <w:rPr>
          <w:rFonts w:hint="eastAsia"/>
          <w:color w:val="auto"/>
          <w:highlight w:val="none"/>
        </w:rPr>
        <w:t>名委员，其中基金管理</w:t>
      </w:r>
      <w:r>
        <w:rPr>
          <w:rFonts w:hint="eastAsia"/>
          <w:color w:val="auto"/>
          <w:highlight w:val="none"/>
          <w:lang w:val="en-US" w:eastAsia="zh-CN"/>
          <w:woUserID w:val="1"/>
        </w:rPr>
        <w:t>人</w:t>
      </w:r>
      <w:r>
        <w:rPr>
          <w:rFonts w:hint="eastAsia"/>
          <w:color w:val="auto"/>
          <w:highlight w:val="none"/>
        </w:rPr>
        <w:t>（3名）、闽清县产业投资有限公司（1名）、外部行业专家或者投资专家（1名），投委会委员一人一票。</w:t>
      </w:r>
      <w:r>
        <w:rPr>
          <w:rFonts w:hint="eastAsia" w:cs="仿宋_GB2312"/>
          <w:color w:val="000000"/>
          <w:szCs w:val="32"/>
        </w:rPr>
        <w:t>投资决策委员会审议意见分为同意和不同意</w:t>
      </w:r>
      <w:r>
        <w:rPr>
          <w:rFonts w:hint="eastAsia" w:cs="仿宋_GB2312"/>
          <w:color w:val="000000"/>
          <w:szCs w:val="32"/>
          <w:lang w:eastAsia="zh-CN"/>
        </w:rPr>
        <w:t>，</w:t>
      </w:r>
      <w:r>
        <w:rPr>
          <w:rFonts w:hint="eastAsia" w:cs="仿宋_GB2312"/>
          <w:color w:val="000000"/>
          <w:szCs w:val="32"/>
        </w:rPr>
        <w:t>审议通过事项须经投资决策委员会五分之三以上（含）成员同意。审议通过后报县政府专题会议研究批准。</w:t>
      </w:r>
    </w:p>
    <w:p w14:paraId="7B8BC3B4">
      <w:pPr>
        <w:pStyle w:val="23"/>
        <w:bidi w:val="0"/>
        <w:rPr>
          <w:rFonts w:hint="default"/>
          <w:color w:val="auto"/>
          <w:highlight w:val="none"/>
          <w:lang w:val="en-US" w:eastAsia="zh-CN"/>
        </w:rPr>
      </w:pPr>
      <w:r>
        <w:rPr>
          <w:rFonts w:hint="eastAsia"/>
          <w:color w:val="auto"/>
          <w:highlight w:val="none"/>
          <w:lang w:val="en-US" w:eastAsia="zh-CN"/>
        </w:rPr>
        <w:t>注：最终以合伙协议约定为准。</w:t>
      </w:r>
    </w:p>
    <w:p w14:paraId="74DE0BAD">
      <w:pPr>
        <w:pStyle w:val="29"/>
        <w:bidi w:val="0"/>
        <w:rPr>
          <w:rFonts w:hint="default"/>
          <w:color w:val="auto"/>
          <w:highlight w:val="none"/>
          <w:lang w:val="en-US" w:eastAsia="zh-CN"/>
        </w:rPr>
      </w:pPr>
      <w:r>
        <w:rPr>
          <w:rFonts w:hint="eastAsia"/>
          <w:color w:val="auto"/>
          <w:highlight w:val="none"/>
          <w:lang w:val="en-US" w:eastAsia="zh-CN"/>
        </w:rPr>
        <w:t>9.收益分配与激励机制</w:t>
      </w:r>
    </w:p>
    <w:p w14:paraId="48BD59C1">
      <w:pPr>
        <w:pStyle w:val="23"/>
        <w:bidi w:val="0"/>
        <w:rPr>
          <w:rFonts w:hint="eastAsia"/>
          <w:color w:val="auto"/>
          <w:highlight w:val="none"/>
        </w:rPr>
      </w:pPr>
      <w:r>
        <w:rPr>
          <w:rFonts w:hint="eastAsia"/>
          <w:color w:val="auto"/>
          <w:highlight w:val="none"/>
        </w:rPr>
        <w:t>遵循“利益共享、风险共担、适度让利”原则。</w:t>
      </w:r>
    </w:p>
    <w:p w14:paraId="4801CF9A">
      <w:pPr>
        <w:pStyle w:val="23"/>
        <w:bidi w:val="0"/>
        <w:rPr>
          <w:rFonts w:hint="eastAsia"/>
        </w:rPr>
      </w:pPr>
      <w:r>
        <w:rPr>
          <w:rFonts w:hint="eastAsia"/>
        </w:rPr>
        <w:t>分配顺序：首先，投资收益按照有限合伙人的实缴出资比例进行分配，直至各有限合伙人收回其全部实缴出资额；其次，剩余部分分配给普通合伙人，直至普通合伙人收回其全部实缴出资额；然后，若仍有剩余，则按收益率6%/年，向所有合伙人（包括有限合伙人和普通合伙人）按其各自的实缴出资比例进行分配；最后，若还有剩余，GP提取20%作为业绩报酬，其余80%由各合伙人（包括有限合伙人和普通合伙人）按实缴出资比例分配。</w:t>
      </w:r>
    </w:p>
    <w:p w14:paraId="135AA2D3">
      <w:pPr>
        <w:pStyle w:val="23"/>
        <w:bidi w:val="0"/>
        <w:rPr>
          <w:rFonts w:hint="eastAsia"/>
          <w:color w:val="auto"/>
          <w:highlight w:val="none"/>
        </w:rPr>
      </w:pPr>
      <w:r>
        <w:rPr>
          <w:rFonts w:hint="eastAsia"/>
          <w:color w:val="auto"/>
          <w:highlight w:val="none"/>
        </w:rPr>
        <w:t>注：最终以</w:t>
      </w:r>
      <w:r>
        <w:rPr>
          <w:rFonts w:hint="eastAsia"/>
          <w:color w:val="auto"/>
          <w:highlight w:val="none"/>
          <w:lang w:val="en-US" w:eastAsia="zh-CN"/>
        </w:rPr>
        <w:t>合伙</w:t>
      </w:r>
      <w:r>
        <w:rPr>
          <w:rFonts w:hint="eastAsia"/>
          <w:color w:val="auto"/>
          <w:highlight w:val="none"/>
        </w:rPr>
        <w:t>协议约定为准。</w:t>
      </w:r>
    </w:p>
    <w:p w14:paraId="15715124">
      <w:pPr>
        <w:pStyle w:val="21"/>
        <w:bidi w:val="0"/>
        <w:rPr>
          <w:rFonts w:hint="eastAsia"/>
          <w:lang w:eastAsia="zh-CN"/>
        </w:rPr>
      </w:pPr>
      <w:bookmarkStart w:id="1" w:name="_GoBack"/>
      <w:bookmarkEnd w:id="1"/>
      <w:r>
        <w:rPr>
          <w:rFonts w:hint="eastAsia"/>
          <w:lang w:val="en-US" w:eastAsia="zh-CN"/>
        </w:rPr>
        <w:t>（</w:t>
      </w:r>
      <w:r>
        <w:rPr>
          <w:rFonts w:hint="eastAsia"/>
          <w:lang w:val="en-US" w:eastAsia="zh"/>
        </w:rPr>
        <w:t>二</w:t>
      </w:r>
      <w:r>
        <w:rPr>
          <w:rFonts w:hint="eastAsia"/>
          <w:lang w:val="en-US" w:eastAsia="zh-CN"/>
        </w:rPr>
        <w:t>）</w:t>
      </w:r>
      <w:r>
        <w:rPr>
          <w:rFonts w:hint="eastAsia"/>
          <w:lang w:eastAsia="zh-CN"/>
        </w:rPr>
        <w:t>投资要求</w:t>
      </w:r>
    </w:p>
    <w:p w14:paraId="23E3C0D5">
      <w:pPr>
        <w:pStyle w:val="29"/>
        <w:bidi w:val="0"/>
        <w:rPr>
          <w:rFonts w:hint="eastAsia"/>
          <w:lang w:eastAsia="zh-CN"/>
        </w:rPr>
      </w:pPr>
      <w:r>
        <w:rPr>
          <w:rFonts w:hint="eastAsia"/>
        </w:rPr>
        <w:t>1.投资</w:t>
      </w:r>
      <w:r>
        <w:rPr>
          <w:rFonts w:hint="eastAsia"/>
          <w:lang w:val="en-US" w:eastAsia="zh-CN"/>
        </w:rPr>
        <w:t>方向</w:t>
      </w:r>
    </w:p>
    <w:p w14:paraId="1A3BC530">
      <w:pPr>
        <w:pStyle w:val="23"/>
        <w:bidi w:val="0"/>
        <w:ind w:firstLine="640"/>
        <w:rPr>
          <w:rFonts w:hint="eastAsia"/>
          <w:color w:val="auto"/>
          <w:highlight w:val="none"/>
        </w:rPr>
      </w:pPr>
      <w:r>
        <w:rPr>
          <w:rFonts w:hint="eastAsia"/>
          <w:color w:val="auto"/>
          <w:highlight w:val="none"/>
        </w:rPr>
        <w:t>基金投资立足县域资源禀赋与产业基础，紧密契合县域发展战略与市场规律，采取直接投资与子基金投资相结合的方式开展投资。具体投资方向如下：</w:t>
      </w:r>
    </w:p>
    <w:p w14:paraId="04AF46E3">
      <w:pPr>
        <w:pStyle w:val="23"/>
        <w:bidi w:val="0"/>
        <w:ind w:firstLine="64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重点投向人工智能、低空经济、新材料、现代农业与食品加工等主导产业，以及新一代光电等未来产业。</w:t>
      </w:r>
    </w:p>
    <w:p w14:paraId="7A40519E">
      <w:pPr>
        <w:pStyle w:val="23"/>
        <w:bidi w:val="0"/>
        <w:ind w:firstLine="64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紧密围绕科技创新产业载体建设，服务机械制造、电子信息等优势产业</w:t>
      </w:r>
      <w:r>
        <w:rPr>
          <w:rFonts w:hint="default"/>
          <w:color w:val="auto"/>
          <w:highlight w:val="none"/>
          <w:lang w:val="en"/>
          <w:woUserID w:val="1"/>
        </w:rPr>
        <w:t>，重点支持强链、补链、延链关键项目</w:t>
      </w:r>
      <w:r>
        <w:rPr>
          <w:rFonts w:hint="eastAsia"/>
          <w:color w:val="auto"/>
          <w:highlight w:val="none"/>
        </w:rPr>
        <w:t>。</w:t>
      </w:r>
    </w:p>
    <w:p w14:paraId="252E0305">
      <w:pPr>
        <w:pStyle w:val="23"/>
        <w:bidi w:val="0"/>
        <w:ind w:firstLine="640"/>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重点投向省级以上专精特新中小企业、高技术产业等领域，挖掘并培育具有核心竞争力的优质企业主体。</w:t>
      </w:r>
    </w:p>
    <w:p w14:paraId="5FD4D814">
      <w:pPr>
        <w:pStyle w:val="23"/>
        <w:bidi w:val="0"/>
        <w:ind w:firstLine="640"/>
        <w:rPr>
          <w:rFonts w:hint="eastAsia" w:eastAsia="仿宋_GB2312"/>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）积极引入社会资本设立子基金。</w:t>
      </w:r>
    </w:p>
    <w:p w14:paraId="7C57C966">
      <w:pPr>
        <w:pStyle w:val="23"/>
        <w:bidi w:val="0"/>
        <w:ind w:firstLine="640"/>
        <w:rPr>
          <w:rFonts w:hint="eastAsia"/>
        </w:rPr>
      </w:pPr>
      <w:r>
        <w:rPr>
          <w:rFonts w:hint="eastAsia"/>
        </w:rPr>
        <w:t>注：最终以</w:t>
      </w:r>
      <w:r>
        <w:rPr>
          <w:rFonts w:hint="eastAsia"/>
          <w:lang w:val="en-US" w:eastAsia="zh-CN"/>
        </w:rPr>
        <w:t>合伙</w:t>
      </w:r>
      <w:r>
        <w:rPr>
          <w:rFonts w:hint="eastAsia"/>
        </w:rPr>
        <w:t>协议约定为准。</w:t>
      </w:r>
    </w:p>
    <w:p w14:paraId="7C05A658">
      <w:pPr>
        <w:pStyle w:val="29"/>
        <w:bidi w:val="0"/>
        <w:rPr>
          <w:rFonts w:hint="eastAsia"/>
        </w:rPr>
      </w:pPr>
      <w:r>
        <w:rPr>
          <w:rFonts w:hint="eastAsia"/>
          <w:lang w:val="en-US" w:eastAsia="zh-CN"/>
        </w:rPr>
        <w:t>2.</w:t>
      </w:r>
      <w:r>
        <w:rPr>
          <w:rFonts w:hint="eastAsia"/>
        </w:rPr>
        <w:t>投资模式</w:t>
      </w:r>
    </w:p>
    <w:p w14:paraId="5597BECC">
      <w:pPr>
        <w:pStyle w:val="23"/>
        <w:bidi w:val="0"/>
        <w:ind w:firstLine="640"/>
        <w:rPr>
          <w:rFonts w:hint="eastAsia" w:eastAsia="仿宋_GB2312"/>
          <w:lang w:eastAsia="zh"/>
          <w:woUserID w:val="1"/>
        </w:rPr>
      </w:pPr>
      <w:r>
        <w:rPr>
          <w:rFonts w:hint="eastAsia"/>
        </w:rPr>
        <w:t>采取“母基金+子基金+直投”的组合投资模式。</w:t>
      </w:r>
      <w:r>
        <w:rPr>
          <w:rFonts w:hint="eastAsia"/>
          <w:color w:val="auto"/>
          <w:highlight w:val="none"/>
          <w:lang w:eastAsia="zh"/>
          <w:woUserID w:val="1"/>
        </w:rPr>
        <w:t>（母基金：</w:t>
      </w:r>
      <w:r>
        <w:rPr>
          <w:rFonts w:hint="eastAsia"/>
          <w:color w:val="auto"/>
          <w:highlight w:val="none"/>
          <w:woUserID w:val="1"/>
        </w:rPr>
        <w:t>闽清县闽江创业投资基金</w:t>
      </w:r>
      <w:r>
        <w:rPr>
          <w:rFonts w:hint="eastAsia"/>
          <w:color w:val="auto"/>
          <w:highlight w:val="none"/>
          <w:lang w:eastAsia="zh"/>
          <w:woUserID w:val="1"/>
        </w:rPr>
        <w:t>）</w:t>
      </w:r>
    </w:p>
    <w:p w14:paraId="0726441C">
      <w:pPr>
        <w:pStyle w:val="23"/>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子基金投资。对于注册在本地的单支子基金，母基金的出资比例原则上不超过子基金总</w:t>
      </w:r>
      <w:r>
        <w:rPr>
          <w:rFonts w:hint="eastAsia"/>
          <w:highlight w:val="none"/>
        </w:rPr>
        <w:t>规模的</w:t>
      </w:r>
      <w:r>
        <w:rPr>
          <w:rFonts w:hint="eastAsia"/>
          <w:highlight w:val="none"/>
          <w:lang w:val="en-US" w:eastAsia="zh-CN"/>
        </w:rPr>
        <w:t>25</w:t>
      </w:r>
      <w:r>
        <w:rPr>
          <w:rFonts w:hint="eastAsia"/>
          <w:highlight w:val="none"/>
        </w:rPr>
        <w:t>%（</w:t>
      </w:r>
      <w:r>
        <w:rPr>
          <w:rFonts w:hint="eastAsia"/>
        </w:rPr>
        <w:t>对于创业投资类子基金可放宽至</w:t>
      </w:r>
      <w:r>
        <w:rPr>
          <w:rFonts w:hint="eastAsia"/>
          <w:lang w:val="en-US" w:eastAsia="zh-CN"/>
        </w:rPr>
        <w:t>30</w:t>
      </w:r>
      <w:r>
        <w:rPr>
          <w:rFonts w:hint="eastAsia"/>
        </w:rPr>
        <w:t>%）；对于注册在外地的单支子基金，母基金对单个子基金的出资比例原则上不超过该子基金总规模的20%。</w:t>
      </w:r>
    </w:p>
    <w:p w14:paraId="28FBAEF5">
      <w:pPr>
        <w:pStyle w:val="23"/>
        <w:bidi w:val="0"/>
        <w:rPr>
          <w:rFonts w:hint="default"/>
          <w:lang w:val="en-US" w:eastAsia="zh-CN"/>
        </w:rPr>
      </w:pPr>
      <w:r>
        <w:rPr>
          <w:rFonts w:hint="eastAsia"/>
          <w:lang w:eastAsia="zh-CN"/>
        </w:rPr>
        <w:t>（</w:t>
      </w:r>
      <w:r>
        <w:rPr>
          <w:rFonts w:hint="eastAsia"/>
          <w:lang w:val="en-US" w:eastAsia="zh-CN"/>
        </w:rPr>
        <w:t>2</w:t>
      </w:r>
      <w:r>
        <w:rPr>
          <w:rFonts w:hint="eastAsia"/>
          <w:lang w:eastAsia="zh-CN"/>
        </w:rPr>
        <w:t>）</w:t>
      </w:r>
      <w:r>
        <w:rPr>
          <w:rFonts w:hint="eastAsia"/>
        </w:rPr>
        <w:t>项目直投。遵循“政府引导、市场运作、科学决策、防范风险”的原则，充分发挥财政资金的杠杆撬动作用，重点支持战略性新兴产业项目。原则上优先投资已落户或即将落户闽清的企业及其子公司和分支机构；母基金</w:t>
      </w:r>
      <w:r>
        <w:rPr>
          <w:rFonts w:hint="eastAsia"/>
          <w:lang w:val="en-US" w:eastAsia="zh-CN"/>
        </w:rPr>
        <w:t>原则上不以投资形式控股被投资企业，本基金投资后所投资企业的持股比例不得超过该企业总股比的30%；母基金</w:t>
      </w:r>
      <w:r>
        <w:rPr>
          <w:rFonts w:hint="eastAsia"/>
        </w:rPr>
        <w:t>对单个项目的直接投资额不超过基金注册规模的10%；经县政府确定投资的重大项目，可不受上述限制。</w:t>
      </w:r>
    </w:p>
    <w:p w14:paraId="41510F0E">
      <w:pPr>
        <w:pStyle w:val="29"/>
        <w:bidi w:val="0"/>
        <w:rPr>
          <w:rFonts w:hint="eastAsia"/>
          <w:lang w:val="en-US" w:eastAsia="zh-CN"/>
        </w:rPr>
      </w:pPr>
      <w:r>
        <w:rPr>
          <w:rFonts w:hint="eastAsia"/>
          <w:lang w:val="en-US" w:eastAsia="zh"/>
        </w:rPr>
        <w:t>3</w:t>
      </w:r>
      <w:r>
        <w:rPr>
          <w:rFonts w:hint="eastAsia"/>
          <w:lang w:val="en-US" w:eastAsia="zh-CN"/>
        </w:rPr>
        <w:t>.返投要求</w:t>
      </w:r>
    </w:p>
    <w:p w14:paraId="77D79C56">
      <w:pPr>
        <w:pStyle w:val="23"/>
        <w:keepNext w:val="0"/>
        <w:keepLines w:val="0"/>
        <w:widowControl/>
        <w:suppressLineNumbers w:val="0"/>
        <w:ind w:firstLine="640"/>
        <w:jc w:val="left"/>
        <w:rPr>
          <w:rFonts w:hint="eastAsia"/>
          <w:highlight w:val="none"/>
          <w:lang w:val="en-US" w:eastAsia="zh-CN"/>
        </w:rPr>
      </w:pPr>
      <w:r>
        <w:rPr>
          <w:lang w:val="en-US" w:eastAsia="zh-CN"/>
        </w:rPr>
        <w:t>母</w:t>
      </w:r>
      <w:r>
        <w:rPr>
          <w:rFonts w:hint="eastAsia"/>
          <w:lang w:val="en-US" w:eastAsia="zh-CN"/>
        </w:rPr>
        <w:t>基金直接投资的项目，返投闽清县的金额原则上不得低于母基金实际出资额的1.5</w:t>
      </w:r>
      <w:r>
        <w:rPr>
          <w:rFonts w:hint="eastAsia"/>
          <w:highlight w:val="none"/>
          <w:lang w:val="en-US" w:eastAsia="zh-CN"/>
        </w:rPr>
        <w:t>倍，子基金</w:t>
      </w:r>
      <w:r>
        <w:rPr>
          <w:rFonts w:hint="eastAsia"/>
          <w:highlight w:val="none"/>
        </w:rPr>
        <w:t>所投项目返投闽清县的</w:t>
      </w:r>
      <w:r>
        <w:rPr>
          <w:rFonts w:hint="eastAsia"/>
          <w:highlight w:val="none"/>
          <w:lang w:val="en-US" w:eastAsia="zh-CN"/>
        </w:rPr>
        <w:t>资金</w:t>
      </w:r>
      <w:r>
        <w:rPr>
          <w:rFonts w:hint="eastAsia"/>
          <w:highlight w:val="none"/>
        </w:rPr>
        <w:t>、原则上不得低于母基金对该子基金出资额的1.2倍</w:t>
      </w:r>
      <w:r>
        <w:rPr>
          <w:rFonts w:hint="eastAsia"/>
          <w:highlight w:val="none"/>
          <w:lang w:eastAsia="zh-CN"/>
        </w:rPr>
        <w:t>（</w:t>
      </w:r>
      <w:r>
        <w:rPr>
          <w:rFonts w:hint="eastAsia"/>
          <w:highlight w:val="none"/>
        </w:rPr>
        <w:t>子基金注册在本地</w:t>
      </w:r>
      <w:r>
        <w:rPr>
          <w:rFonts w:hint="eastAsia"/>
          <w:highlight w:val="none"/>
          <w:lang w:eastAsia="zh-CN"/>
        </w:rPr>
        <w:t>）</w:t>
      </w:r>
      <w:r>
        <w:rPr>
          <w:rFonts w:hint="eastAsia"/>
          <w:highlight w:val="none"/>
        </w:rPr>
        <w:t>或1.5倍</w:t>
      </w:r>
      <w:r>
        <w:rPr>
          <w:rFonts w:hint="eastAsia"/>
          <w:highlight w:val="none"/>
          <w:lang w:eastAsia="zh-CN"/>
        </w:rPr>
        <w:t>（</w:t>
      </w:r>
      <w:r>
        <w:rPr>
          <w:rFonts w:hint="eastAsia"/>
          <w:highlight w:val="none"/>
        </w:rPr>
        <w:t>子基金</w:t>
      </w:r>
      <w:r>
        <w:rPr>
          <w:rFonts w:hint="eastAsia"/>
          <w:highlight w:val="none"/>
          <w:lang w:val="en-US" w:eastAsia="zh-CN"/>
        </w:rPr>
        <w:t>注册</w:t>
      </w:r>
      <w:r>
        <w:rPr>
          <w:rFonts w:hint="eastAsia"/>
          <w:highlight w:val="none"/>
        </w:rPr>
        <w:t>在外地</w:t>
      </w:r>
      <w:r>
        <w:rPr>
          <w:rFonts w:hint="eastAsia"/>
          <w:highlight w:val="none"/>
          <w:lang w:eastAsia="zh-CN"/>
        </w:rPr>
        <w:t>）</w:t>
      </w:r>
      <w:r>
        <w:rPr>
          <w:rFonts w:hint="eastAsia"/>
          <w:highlight w:val="none"/>
          <w:lang w:val="en-US" w:eastAsia="zh-CN"/>
        </w:rPr>
        <w:t>。</w:t>
      </w:r>
    </w:p>
    <w:p w14:paraId="3A75DE17">
      <w:pPr>
        <w:pStyle w:val="23"/>
        <w:keepNext w:val="0"/>
        <w:keepLines w:val="0"/>
        <w:widowControl/>
        <w:suppressLineNumbers w:val="0"/>
        <w:jc w:val="left"/>
      </w:pPr>
      <w:r>
        <w:rPr>
          <w:rFonts w:hint="eastAsia"/>
          <w:lang w:val="en-US" w:eastAsia="zh-CN"/>
        </w:rPr>
        <w:t>属于以下情形之一的，可将本基金对地方投引贡献金额计算为基金投资于闽清县企业的投资额，具体包括：</w:t>
      </w:r>
    </w:p>
    <w:p w14:paraId="3953EB3F">
      <w:pPr>
        <w:pStyle w:val="23"/>
        <w:keepNext w:val="0"/>
        <w:keepLines w:val="0"/>
        <w:widowControl/>
        <w:suppressLineNumbers w:val="0"/>
        <w:jc w:val="left"/>
      </w:pPr>
      <w:r>
        <w:rPr>
          <w:rFonts w:hint="eastAsia"/>
          <w:lang w:val="en-US" w:eastAsia="zh-CN"/>
        </w:rPr>
        <w:t>（1）基金所投闽清县区域外企业将注册地迁往本县、被县内企业收购或其研发生产基地及主要功能性子公司落户本县的。</w:t>
      </w:r>
    </w:p>
    <w:p w14:paraId="2A882207">
      <w:pPr>
        <w:pStyle w:val="23"/>
        <w:keepNext w:val="0"/>
        <w:keepLines w:val="0"/>
        <w:widowControl/>
        <w:suppressLineNumbers w:val="0"/>
        <w:jc w:val="left"/>
      </w:pPr>
      <w:r>
        <w:rPr>
          <w:rFonts w:hint="eastAsia"/>
          <w:lang w:val="en-US" w:eastAsia="zh-CN"/>
        </w:rPr>
        <w:t>（2）基金管理人或属于同一实际控制人的管理人在管的其他基金，新增投资闽清县内注册企业或符合上述第1款情形的闽清县区域外注册企业。</w:t>
      </w:r>
    </w:p>
    <w:p w14:paraId="680E57A4">
      <w:pPr>
        <w:pStyle w:val="23"/>
        <w:keepNext w:val="0"/>
        <w:keepLines w:val="0"/>
        <w:widowControl/>
        <w:suppressLineNumbers w:val="0"/>
        <w:jc w:val="left"/>
      </w:pPr>
      <w:r>
        <w:rPr>
          <w:rFonts w:hint="eastAsia"/>
          <w:lang w:val="en-US" w:eastAsia="zh-CN"/>
        </w:rPr>
        <w:t>（3）其他经县政府认定的重大项目投资可多倍计算，具体认定口径由县政府确定。</w:t>
      </w:r>
    </w:p>
    <w:p w14:paraId="01BB9D8D">
      <w:pPr>
        <w:pStyle w:val="23"/>
        <w:keepNext w:val="0"/>
        <w:keepLines w:val="0"/>
        <w:widowControl/>
        <w:suppressLineNumbers w:val="0"/>
        <w:jc w:val="left"/>
      </w:pPr>
      <w:r>
        <w:rPr>
          <w:rFonts w:hint="eastAsia"/>
          <w:lang w:val="en-US" w:eastAsia="zh-CN"/>
        </w:rPr>
        <w:t>（4）其他经县政府认定的基金未投资但由基金管理人推荐到本地落地的闽清县区域外企业，具体认定口径由县政府确定。</w:t>
      </w:r>
    </w:p>
    <w:p w14:paraId="6BB72A7A">
      <w:pPr>
        <w:pStyle w:val="23"/>
        <w:rPr>
          <w:rFonts w:hint="default"/>
          <w:lang w:val="en-US" w:eastAsia="zh-CN"/>
        </w:rPr>
      </w:pPr>
      <w:r>
        <w:rPr>
          <w:rFonts w:hint="eastAsia"/>
          <w:lang w:val="en-US" w:eastAsia="zh-CN"/>
        </w:rPr>
        <w:t>注：具体的返投认定</w:t>
      </w:r>
      <w:r>
        <w:rPr>
          <w:rFonts w:hint="eastAsia"/>
          <w:lang w:val="en-US" w:eastAsia="zh"/>
          <w:woUserID w:val="1"/>
        </w:rPr>
        <w:t>及</w:t>
      </w:r>
      <w:r>
        <w:rPr>
          <w:rFonts w:hint="eastAsia"/>
          <w:lang w:val="en-US" w:eastAsia="zh-CN"/>
        </w:rPr>
        <w:t>计算方式，以最终合伙协议约定为准。</w:t>
      </w:r>
    </w:p>
    <w:p w14:paraId="0BED8856">
      <w:pPr>
        <w:pStyle w:val="29"/>
        <w:bidi w:val="0"/>
        <w:rPr>
          <w:rFonts w:hint="eastAsia"/>
          <w:color w:val="auto"/>
          <w:highlight w:val="none"/>
          <w:lang w:val="en-US" w:eastAsia="zh-CN"/>
        </w:rPr>
      </w:pPr>
      <w:r>
        <w:rPr>
          <w:rFonts w:hint="eastAsia"/>
          <w:color w:val="auto"/>
          <w:highlight w:val="none"/>
          <w:lang w:val="en-US" w:eastAsia="zh-CN"/>
        </w:rPr>
        <w:t>5.投资限制</w:t>
      </w:r>
    </w:p>
    <w:p w14:paraId="72A1132D">
      <w:pPr>
        <w:keepNext w:val="0"/>
        <w:keepLines w:val="0"/>
        <w:pageBreakBefore w:val="0"/>
        <w:widowControl/>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基金不得从事以下业务：</w:t>
      </w:r>
    </w:p>
    <w:p w14:paraId="19F87D38">
      <w:pPr>
        <w:keepNext w:val="0"/>
        <w:keepLines w:val="0"/>
        <w:pageBreakBefore w:val="0"/>
        <w:widowControl/>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default" w:cs="仿宋_GB2312"/>
          <w:color w:val="auto"/>
          <w:sz w:val="32"/>
          <w:szCs w:val="32"/>
          <w:highlight w:val="none"/>
          <w:lang w:val="en-US" w:eastAsia="zh-CN"/>
        </w:rPr>
      </w:pP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1</w:t>
      </w: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从事融资担保以外的担保、抵押、委托贷款等业务；</w:t>
      </w:r>
    </w:p>
    <w:p w14:paraId="18DCFD80">
      <w:pPr>
        <w:keepNext w:val="0"/>
        <w:keepLines w:val="0"/>
        <w:pageBreakBefore w:val="0"/>
        <w:widowControl/>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2</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投资二级市场股票、期货、房地产、证券投资基金、评级AAA以下的企业债、信托产品、非保本型理财产品、保险计划及其他金融衍生品</w:t>
      </w:r>
      <w:r>
        <w:rPr>
          <w:rFonts w:hint="eastAsia"/>
          <w:color w:val="auto"/>
          <w:highlight w:val="none"/>
          <w:lang w:eastAsia="zh-CN"/>
        </w:rPr>
        <w:t>；</w:t>
      </w:r>
    </w:p>
    <w:p w14:paraId="3BE6A1C3">
      <w:pPr>
        <w:keepNext w:val="0"/>
        <w:keepLines w:val="0"/>
        <w:pageBreakBefore w:val="0"/>
        <w:widowControl/>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3</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向任何第三方提供</w:t>
      </w:r>
      <w:r>
        <w:rPr>
          <w:rFonts w:hint="eastAsia" w:cs="仿宋_GB2312"/>
          <w:color w:val="auto"/>
          <w:sz w:val="32"/>
          <w:szCs w:val="32"/>
          <w:highlight w:val="none"/>
          <w:lang w:val="en-US" w:eastAsia="zh-CN"/>
        </w:rPr>
        <w:t>赞助、</w:t>
      </w:r>
      <w:r>
        <w:rPr>
          <w:rFonts w:hint="eastAsia" w:ascii="仿宋_GB2312" w:hAnsi="仿宋_GB2312" w:eastAsia="仿宋_GB2312" w:cs="仿宋_GB2312"/>
          <w:color w:val="auto"/>
          <w:sz w:val="32"/>
          <w:szCs w:val="32"/>
          <w:highlight w:val="none"/>
        </w:rPr>
        <w:t>捐赠（经批准的公益性捐赠除外）</w:t>
      </w:r>
      <w:r>
        <w:rPr>
          <w:rFonts w:hint="eastAsia"/>
          <w:color w:val="auto"/>
          <w:highlight w:val="none"/>
          <w:lang w:eastAsia="zh-CN"/>
        </w:rPr>
        <w:t>；</w:t>
      </w:r>
    </w:p>
    <w:p w14:paraId="6C321B65">
      <w:pPr>
        <w:keepNext w:val="0"/>
        <w:keepLines w:val="0"/>
        <w:pageBreakBefore w:val="0"/>
        <w:widowControl/>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4</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吸收或变相吸收存款，</w:t>
      </w:r>
      <w:r>
        <w:rPr>
          <w:rFonts w:hint="eastAsia" w:cs="仿宋_GB2312"/>
          <w:color w:val="auto"/>
          <w:sz w:val="32"/>
          <w:szCs w:val="32"/>
          <w:highlight w:val="none"/>
          <w:lang w:val="en-US" w:eastAsia="zh-CN"/>
        </w:rPr>
        <w:t>或向第三方提供贷款和资金拆借及其他“明股实债”业务；</w:t>
      </w:r>
    </w:p>
    <w:p w14:paraId="2BE2879B">
      <w:pPr>
        <w:keepNext w:val="0"/>
        <w:keepLines w:val="0"/>
        <w:pageBreakBefore w:val="0"/>
        <w:widowControl/>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color w:val="auto"/>
          <w:highlight w:val="none"/>
          <w:lang w:eastAsia="zh-CN"/>
        </w:rPr>
      </w:pPr>
      <w:r>
        <w:rPr>
          <w:rFonts w:hint="eastAsia"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进行承担无限连带责任的对外投资</w:t>
      </w:r>
      <w:r>
        <w:rPr>
          <w:rFonts w:hint="eastAsia"/>
          <w:color w:val="auto"/>
          <w:highlight w:val="none"/>
          <w:lang w:eastAsia="zh-CN"/>
        </w:rPr>
        <w:t>；</w:t>
      </w:r>
    </w:p>
    <w:p w14:paraId="07BFAF81">
      <w:pPr>
        <w:keepNext w:val="0"/>
        <w:keepLines w:val="0"/>
        <w:pageBreakBefore w:val="0"/>
        <w:widowControl/>
        <w:numPr>
          <w:ilvl w:val="-1"/>
          <w:numId w:val="0"/>
        </w:numPr>
        <w:shd w:val="clear"/>
        <w:kinsoku/>
        <w:wordWrap/>
        <w:overflowPunct w:val="0"/>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6</w:t>
      </w: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发行信托或集合理财产品募集资金；</w:t>
      </w:r>
    </w:p>
    <w:p w14:paraId="1D991DBE">
      <w:pPr>
        <w:pStyle w:val="23"/>
        <w:bidi w:val="0"/>
        <w:rPr>
          <w:rFonts w:hint="eastAsia"/>
          <w:color w:val="auto"/>
          <w:highlight w:val="none"/>
          <w:lang w:eastAsia="zh-CN"/>
          <w:woUserID w:val="1"/>
        </w:rPr>
      </w:pP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7）其他国家</w:t>
      </w:r>
      <w:r>
        <w:rPr>
          <w:rFonts w:hint="eastAsia" w:ascii="仿宋_GB2312" w:hAnsi="仿宋_GB2312" w:eastAsia="仿宋_GB2312" w:cs="仿宋_GB2312"/>
          <w:color w:val="auto"/>
          <w:sz w:val="32"/>
          <w:szCs w:val="32"/>
          <w:highlight w:val="none"/>
        </w:rPr>
        <w:t>法律法规</w:t>
      </w:r>
      <w:r>
        <w:rPr>
          <w:rFonts w:hint="eastAsia" w:ascii="仿宋_GB2312" w:hAnsi="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闽清县政府</w:t>
      </w:r>
      <w:r>
        <w:rPr>
          <w:rFonts w:hint="eastAsia" w:ascii="仿宋_GB2312" w:hAnsi="仿宋_GB2312" w:cs="仿宋_GB2312"/>
          <w:color w:val="auto"/>
          <w:sz w:val="32"/>
          <w:szCs w:val="32"/>
          <w:highlight w:val="none"/>
          <w:lang w:val="en-US" w:eastAsia="zh-CN"/>
        </w:rPr>
        <w:t>禁止从事的</w:t>
      </w:r>
      <w:r>
        <w:rPr>
          <w:rFonts w:hint="eastAsia" w:ascii="仿宋_GB2312" w:hAnsi="仿宋_GB2312" w:eastAsia="仿宋_GB2312" w:cs="仿宋_GB2312"/>
          <w:color w:val="auto"/>
          <w:sz w:val="32"/>
          <w:szCs w:val="32"/>
          <w:highlight w:val="none"/>
        </w:rPr>
        <w:t>业务。</w:t>
      </w:r>
    </w:p>
    <w:p w14:paraId="63C17B5D">
      <w:pPr>
        <w:pStyle w:val="21"/>
        <w:bidi w:val="0"/>
        <w:rPr>
          <w:rFonts w:hint="eastAsia"/>
          <w:color w:val="auto"/>
          <w:highlight w:val="none"/>
          <w:lang w:eastAsia="zh-CN"/>
          <w:woUserID w:val="1"/>
        </w:rPr>
      </w:pPr>
      <w:r>
        <w:rPr>
          <w:rFonts w:hint="eastAsia"/>
          <w:color w:val="auto"/>
          <w:highlight w:val="none"/>
          <w:lang w:eastAsia="zh-CN"/>
          <w:woUserID w:val="1"/>
        </w:rPr>
        <w:t>（</w:t>
      </w:r>
      <w:r>
        <w:rPr>
          <w:rFonts w:hint="eastAsia"/>
          <w:color w:val="auto"/>
          <w:highlight w:val="none"/>
          <w:lang w:eastAsia="zh"/>
          <w:woUserID w:val="1"/>
        </w:rPr>
        <w:t>三</w:t>
      </w:r>
      <w:r>
        <w:rPr>
          <w:rFonts w:hint="eastAsia"/>
          <w:color w:val="auto"/>
          <w:highlight w:val="none"/>
          <w:lang w:val="en-US" w:eastAsia="zh-CN"/>
          <w:woUserID w:val="1"/>
        </w:rPr>
        <w:t>）基金存续效能约束</w:t>
      </w:r>
    </w:p>
    <w:p w14:paraId="062C3520">
      <w:pPr>
        <w:pStyle w:val="23"/>
        <w:bidi w:val="0"/>
        <w:rPr>
          <w:rFonts w:hint="eastAsia"/>
          <w:highlight w:val="none"/>
          <w:lang w:val="en-US" w:eastAsia="zh-CN"/>
          <w:woUserID w:val="1"/>
        </w:rPr>
      </w:pPr>
      <w:r>
        <w:rPr>
          <w:rFonts w:hint="eastAsia"/>
          <w:highlight w:val="none"/>
          <w:lang w:val="en-US" w:eastAsia="zh-CN"/>
          <w:woUserID w:val="1"/>
        </w:rPr>
        <w:t>1.基金合伙人签署《合伙协议》之后9个月内，未完成中国证券投资基金业协会基金产品备案，则基金解散清算，管理人应于基金解散清算之日起3个月内，全额退还已收取的管理费。</w:t>
      </w:r>
    </w:p>
    <w:p w14:paraId="6924232B">
      <w:pPr>
        <w:pStyle w:val="23"/>
        <w:bidi w:val="0"/>
        <w:rPr>
          <w:rFonts w:hint="eastAsia"/>
          <w:highlight w:val="none"/>
          <w:lang w:val="en-US" w:eastAsia="zh-CN"/>
          <w:woUserID w:val="1"/>
        </w:rPr>
      </w:pPr>
      <w:r>
        <w:rPr>
          <w:rFonts w:hint="eastAsia"/>
          <w:highlight w:val="none"/>
          <w:lang w:val="en-US" w:eastAsia="zh-CN"/>
          <w:woUserID w:val="1"/>
        </w:rPr>
        <w:t>2.若基金管理人未在基金成立备案后6个月内完成首支子基金立项尽调并提报上级部门，视为基金无实质运作，已产生的基金管理费减半计算。</w:t>
      </w:r>
    </w:p>
    <w:p w14:paraId="7B52F129">
      <w:pPr>
        <w:pStyle w:val="23"/>
        <w:bidi w:val="0"/>
        <w:ind w:firstLine="640"/>
        <w:rPr>
          <w:rFonts w:hint="eastAsia" w:ascii="仿宋_GB2312" w:hAnsi="仿宋_GB2312" w:eastAsia="仿宋_GB2312" w:cs="仿宋_GB2312"/>
          <w:color w:val="auto"/>
          <w:sz w:val="32"/>
          <w:szCs w:val="32"/>
          <w:highlight w:val="none"/>
        </w:rPr>
      </w:pPr>
      <w:r>
        <w:rPr>
          <w:rFonts w:hint="eastAsia"/>
          <w:highlight w:val="none"/>
          <w:lang w:val="en-US" w:eastAsia="zh-CN"/>
          <w:woUserID w:val="1"/>
        </w:rPr>
        <w:t>3.若基金管理人未在基金成立备案后9个月内完成首支子基金设立（通过中基协备案）或12个月内完成母基金项目直投的或未能有效履行子基金招商，视为基金无法有效开展投资运营，政府出资人有权根据基金章程、合伙协议约定重新遴选基金管理人或基金解散清算，管理人应向基金退回已收取的全部管理</w:t>
      </w:r>
      <w:r>
        <w:rPr>
          <w:rFonts w:hint="eastAsia"/>
          <w:lang w:val="en-US" w:eastAsia="zh-CN"/>
          <w:woUserID w:val="1"/>
        </w:rPr>
        <w:t>费。</w:t>
      </w:r>
    </w:p>
    <w:p w14:paraId="30D07E11">
      <w:pPr>
        <w:pStyle w:val="27"/>
        <w:bidi w:val="0"/>
        <w:rPr>
          <w:rFonts w:hint="eastAsia"/>
          <w:color w:val="auto"/>
          <w:highlight w:val="none"/>
          <w:lang w:val="en-US" w:eastAsia="zh-CN"/>
        </w:rPr>
      </w:pPr>
      <w:r>
        <w:rPr>
          <w:rFonts w:hint="eastAsia"/>
          <w:color w:val="auto"/>
          <w:highlight w:val="none"/>
          <w:lang w:val="en-US" w:eastAsia="zh-CN"/>
        </w:rPr>
        <w:t>二、管理人基本要求</w:t>
      </w:r>
    </w:p>
    <w:p w14:paraId="32DE79BD">
      <w:pPr>
        <w:pStyle w:val="23"/>
        <w:bidi w:val="0"/>
        <w:rPr>
          <w:rFonts w:hint="eastAsia"/>
          <w:color w:val="auto"/>
          <w:highlight w:val="none"/>
        </w:rPr>
      </w:pPr>
      <w:r>
        <w:rPr>
          <w:rFonts w:hint="eastAsia"/>
          <w:color w:val="auto"/>
          <w:highlight w:val="none"/>
          <w:lang w:val="en-US" w:eastAsia="zh-CN"/>
        </w:rPr>
        <w:t>1.</w:t>
      </w:r>
      <w:r>
        <w:rPr>
          <w:rFonts w:hint="eastAsia"/>
          <w:color w:val="auto"/>
          <w:highlight w:val="none"/>
        </w:rPr>
        <w:t>依法设立的公司或合伙企业</w:t>
      </w:r>
      <w:r>
        <w:rPr>
          <w:rFonts w:hint="eastAsia"/>
          <w:color w:val="auto"/>
          <w:highlight w:val="none"/>
          <w:lang w:eastAsia="zh-CN"/>
        </w:rPr>
        <w:t>，</w:t>
      </w:r>
      <w:r>
        <w:rPr>
          <w:rFonts w:hint="eastAsia"/>
          <w:color w:val="auto"/>
          <w:highlight w:val="none"/>
        </w:rPr>
        <w:t>实收资本不低于1000万元人民币</w:t>
      </w:r>
      <w:r>
        <w:rPr>
          <w:rFonts w:hint="eastAsia"/>
          <w:color w:val="auto"/>
          <w:highlight w:val="none"/>
          <w:lang w:eastAsia="zh-CN"/>
        </w:rPr>
        <w:t>，</w:t>
      </w:r>
      <w:r>
        <w:rPr>
          <w:rFonts w:hint="eastAsia"/>
          <w:color w:val="auto"/>
          <w:highlight w:val="none"/>
        </w:rPr>
        <w:t>在中国证券投资基金业协会登记为私募股权、创业投资基金管理人</w:t>
      </w:r>
      <w:r>
        <w:rPr>
          <w:rFonts w:hint="eastAsia"/>
          <w:color w:val="auto"/>
          <w:highlight w:val="none"/>
          <w:lang w:eastAsia="zh-CN"/>
        </w:rPr>
        <w:t>；</w:t>
      </w:r>
    </w:p>
    <w:p w14:paraId="5FE202C1">
      <w:pPr>
        <w:pStyle w:val="23"/>
        <w:bidi w:val="0"/>
        <w:rPr>
          <w:rFonts w:hint="eastAsia"/>
          <w:color w:val="auto"/>
          <w:highlight w:val="yellow"/>
          <w:lang w:eastAsia="zh-CN"/>
        </w:rPr>
      </w:pPr>
      <w:r>
        <w:rPr>
          <w:rFonts w:hint="eastAsia"/>
          <w:color w:val="auto"/>
          <w:highlight w:val="none"/>
          <w:lang w:val="en-US" w:eastAsia="zh-CN"/>
        </w:rPr>
        <w:t>2.</w:t>
      </w:r>
      <w:r>
        <w:rPr>
          <w:rFonts w:hint="eastAsia"/>
          <w:color w:val="auto"/>
          <w:highlight w:val="none"/>
        </w:rPr>
        <w:t>至少有3名具备3年以上资</w:t>
      </w:r>
      <w:r>
        <w:rPr>
          <w:rFonts w:hint="eastAsia"/>
          <w:color w:val="auto"/>
          <w:highlight w:val="none"/>
          <w:lang w:eastAsia="zh"/>
          <w:woUserID w:val="1"/>
        </w:rPr>
        <w:t>产</w:t>
      </w:r>
      <w:r>
        <w:rPr>
          <w:rFonts w:hint="eastAsia"/>
          <w:color w:val="auto"/>
          <w:highlight w:val="none"/>
        </w:rPr>
        <w:t>管理工作经验的高级管理人员</w:t>
      </w:r>
      <w:r>
        <w:rPr>
          <w:rFonts w:hint="eastAsia"/>
          <w:color w:val="auto"/>
          <w:highlight w:val="none"/>
          <w:lang w:eastAsia="zh-CN"/>
        </w:rPr>
        <w:t>；</w:t>
      </w:r>
    </w:p>
    <w:p w14:paraId="5658062E">
      <w:pPr>
        <w:pStyle w:val="23"/>
        <w:bidi w:val="0"/>
        <w:ind w:firstLine="640"/>
        <w:rPr>
          <w:rFonts w:hint="eastAsia"/>
          <w:color w:val="auto"/>
          <w:highlight w:val="none"/>
        </w:rPr>
      </w:pPr>
      <w:r>
        <w:rPr>
          <w:rFonts w:hint="eastAsia"/>
          <w:color w:val="auto"/>
          <w:highlight w:val="none"/>
          <w:lang w:val="en-US" w:eastAsia="zh-CN"/>
        </w:rPr>
        <w:t>3.</w:t>
      </w:r>
      <w:r>
        <w:rPr>
          <w:rFonts w:hint="eastAsia"/>
          <w:color w:val="auto"/>
          <w:highlight w:val="none"/>
        </w:rPr>
        <w:t>基金管理</w:t>
      </w:r>
      <w:r>
        <w:rPr>
          <w:rFonts w:hint="eastAsia"/>
          <w:color w:val="auto"/>
          <w:highlight w:val="none"/>
          <w:lang w:val="en-US" w:eastAsia="zh-CN"/>
        </w:rPr>
        <w:t>人</w:t>
      </w:r>
      <w:r>
        <w:rPr>
          <w:rFonts w:hint="eastAsia"/>
          <w:color w:val="auto"/>
          <w:highlight w:val="none"/>
        </w:rPr>
        <w:t>及其董事、监事、高级管理人员及其他从业人员在最近三年无重大违法</w:t>
      </w:r>
      <w:r>
        <w:rPr>
          <w:rFonts w:hint="eastAsia"/>
          <w:color w:val="auto"/>
          <w:highlight w:val="none"/>
          <w:lang w:val="en-US" w:eastAsia="zh-CN"/>
        </w:rPr>
        <w:t>违规</w:t>
      </w:r>
      <w:r>
        <w:rPr>
          <w:rFonts w:hint="eastAsia"/>
          <w:color w:val="auto"/>
          <w:highlight w:val="none"/>
        </w:rPr>
        <w:t>行为</w:t>
      </w:r>
      <w:r>
        <w:rPr>
          <w:rFonts w:hint="eastAsia"/>
          <w:color w:val="auto"/>
          <w:highlight w:val="none"/>
          <w:lang w:eastAsia="zh-CN"/>
        </w:rPr>
        <w:t>；</w:t>
      </w:r>
      <w:r>
        <w:rPr>
          <w:rFonts w:hint="eastAsia"/>
          <w:color w:val="auto"/>
          <w:highlight w:val="none"/>
        </w:rPr>
        <w:t>基金管理</w:t>
      </w:r>
      <w:r>
        <w:rPr>
          <w:rFonts w:hint="eastAsia"/>
          <w:color w:val="auto"/>
          <w:highlight w:val="none"/>
          <w:lang w:val="en-US" w:eastAsia="zh-CN"/>
        </w:rPr>
        <w:t>人</w:t>
      </w:r>
      <w:r>
        <w:rPr>
          <w:rFonts w:hint="eastAsia"/>
          <w:color w:val="auto"/>
          <w:highlight w:val="none"/>
        </w:rPr>
        <w:t>最近三年无明显违反有关政策或以申领财政奖励为目的的政府投资基金投资行为</w:t>
      </w:r>
      <w:r>
        <w:rPr>
          <w:rFonts w:hint="eastAsia"/>
          <w:color w:val="auto"/>
          <w:highlight w:val="none"/>
          <w:lang w:eastAsia="zh-CN"/>
        </w:rPr>
        <w:t>；</w:t>
      </w:r>
    </w:p>
    <w:p w14:paraId="3005E3AA">
      <w:pPr>
        <w:pStyle w:val="23"/>
        <w:bidi w:val="0"/>
        <w:rPr>
          <w:rFonts w:hint="eastAsia" w:eastAsia="仿宋_GB2312"/>
          <w:color w:val="auto"/>
          <w:highlight w:val="none"/>
          <w:lang w:eastAsia="zh-CN"/>
        </w:rPr>
      </w:pPr>
      <w:r>
        <w:rPr>
          <w:rFonts w:hint="eastAsia"/>
          <w:color w:val="auto"/>
          <w:highlight w:val="none"/>
          <w:lang w:val="en-US" w:eastAsia="zh-CN"/>
        </w:rPr>
        <w:t>4.</w:t>
      </w:r>
      <w:r>
        <w:rPr>
          <w:rFonts w:hint="eastAsia"/>
          <w:color w:val="auto"/>
          <w:highlight w:val="none"/>
        </w:rPr>
        <w:t>有符合要求的营业场所、安全防范设施和与基金管理业务有关的其他设施</w:t>
      </w:r>
      <w:r>
        <w:rPr>
          <w:rFonts w:hint="eastAsia"/>
          <w:color w:val="auto"/>
          <w:highlight w:val="none"/>
          <w:lang w:eastAsia="zh-CN"/>
        </w:rPr>
        <w:t>；</w:t>
      </w:r>
    </w:p>
    <w:p w14:paraId="49BB233D">
      <w:pPr>
        <w:pStyle w:val="23"/>
        <w:bidi w:val="0"/>
        <w:rPr>
          <w:rFonts w:hint="eastAsia" w:eastAsia="仿宋_GB2312"/>
          <w:color w:val="auto"/>
          <w:highlight w:val="none"/>
          <w:lang w:eastAsia="zh-CN"/>
        </w:rPr>
      </w:pPr>
      <w:r>
        <w:rPr>
          <w:rFonts w:hint="eastAsia"/>
          <w:color w:val="auto"/>
          <w:highlight w:val="none"/>
          <w:lang w:val="en-US" w:eastAsia="zh-CN"/>
        </w:rPr>
        <w:t>5.</w:t>
      </w:r>
      <w:r>
        <w:rPr>
          <w:rFonts w:hint="eastAsia"/>
          <w:color w:val="auto"/>
          <w:highlight w:val="none"/>
        </w:rPr>
        <w:t>有良好的内部治理结构和风险控制制度</w:t>
      </w:r>
      <w:r>
        <w:rPr>
          <w:rFonts w:hint="eastAsia"/>
          <w:color w:val="auto"/>
          <w:highlight w:val="none"/>
          <w:lang w:eastAsia="zh-CN"/>
        </w:rPr>
        <w:t>；</w:t>
      </w:r>
    </w:p>
    <w:p w14:paraId="1EB350A8">
      <w:pPr>
        <w:pStyle w:val="23"/>
        <w:bidi w:val="0"/>
        <w:rPr>
          <w:rFonts w:hint="eastAsia"/>
          <w:color w:val="auto"/>
          <w:highlight w:val="none"/>
        </w:rPr>
      </w:pPr>
      <w:r>
        <w:rPr>
          <w:rFonts w:hint="eastAsia"/>
          <w:color w:val="auto"/>
          <w:highlight w:val="none"/>
          <w:lang w:val="en-US" w:eastAsia="zh-CN"/>
        </w:rPr>
        <w:t>6.</w:t>
      </w:r>
      <w:r>
        <w:rPr>
          <w:rFonts w:hint="eastAsia"/>
          <w:color w:val="auto"/>
          <w:highlight w:val="none"/>
        </w:rPr>
        <w:t>法律法规规定的其他条件和基金发起人认为应当具备的其他条件。</w:t>
      </w:r>
    </w:p>
    <w:p w14:paraId="6A9C095E">
      <w:pPr>
        <w:pStyle w:val="3"/>
        <w:pageBreakBefore w:val="0"/>
        <w:kinsoku/>
        <w:wordWrap/>
        <w:topLinePunct w:val="0"/>
        <w:autoSpaceDE/>
        <w:autoSpaceDN/>
        <w:bidi w:val="0"/>
        <w:adjustRightInd w:val="0"/>
        <w:snapToGrid w:val="0"/>
        <w:spacing w:line="560" w:lineRule="exact"/>
        <w:textAlignment w:val="auto"/>
        <w:rPr>
          <w:rFonts w:hint="eastAsia" w:ascii="黑体" w:hAnsi="黑体" w:eastAsia="黑体" w:cs="黑体"/>
          <w:color w:val="auto"/>
          <w:szCs w:val="32"/>
          <w:highlight w:val="none"/>
          <w:lang w:eastAsia="zh-CN"/>
        </w:rPr>
      </w:pPr>
      <w:r>
        <w:rPr>
          <w:rFonts w:hint="eastAsia" w:ascii="黑体" w:hAnsi="黑体" w:eastAsia="黑体" w:cs="黑体"/>
          <w:color w:val="auto"/>
          <w:szCs w:val="32"/>
          <w:highlight w:val="none"/>
          <w:lang w:val="en-US" w:eastAsia="zh-CN"/>
        </w:rPr>
        <w:t>四、</w:t>
      </w:r>
      <w:r>
        <w:rPr>
          <w:rFonts w:hint="eastAsia" w:ascii="黑体" w:hAnsi="黑体" w:eastAsia="黑体" w:cs="黑体"/>
          <w:color w:val="auto"/>
          <w:szCs w:val="32"/>
          <w:highlight w:val="none"/>
          <w:lang w:eastAsia="zh-CN"/>
        </w:rPr>
        <w:t>特别说明</w:t>
      </w:r>
    </w:p>
    <w:p w14:paraId="60BAB557">
      <w:pPr>
        <w:overflowPunct w:val="0"/>
        <w:topLinePunct/>
        <w:snapToGrid w:val="0"/>
        <w:spacing w:line="560" w:lineRule="exact"/>
        <w:ind w:firstLine="640" w:firstLineChars="200"/>
        <w:rPr>
          <w:rFonts w:hint="eastAsia"/>
          <w:lang w:val="en-US" w:eastAsia="zh-CN"/>
        </w:rPr>
      </w:pPr>
      <w:r>
        <w:rPr>
          <w:rFonts w:hint="eastAsia" w:cs="仿宋_GB2312"/>
          <w:color w:val="auto"/>
          <w:sz w:val="32"/>
          <w:szCs w:val="40"/>
          <w:highlight w:val="none"/>
          <w:lang w:val="en-US" w:eastAsia="zh-CN"/>
        </w:rPr>
        <w:t>1.同一基金管理人、基金管理人负责人为同一人或者存在控股关系的不同机构限申报一个基金设立方案。</w:t>
      </w:r>
    </w:p>
    <w:p w14:paraId="2A4AB143">
      <w:pPr>
        <w:overflowPunct w:val="0"/>
        <w:topLinePunct/>
        <w:snapToGrid w:val="0"/>
        <w:spacing w:line="560" w:lineRule="exact"/>
        <w:ind w:firstLine="640" w:firstLineChars="200"/>
        <w:rPr>
          <w:rFonts w:hint="eastAsia" w:eastAsia="仿宋_GB2312" w:cs="仿宋_GB2312"/>
          <w:color w:val="auto"/>
          <w:sz w:val="32"/>
          <w:szCs w:val="40"/>
          <w:highlight w:val="yellow"/>
          <w:lang w:val="en-US" w:eastAsia="zh-CN"/>
        </w:rPr>
      </w:pPr>
      <w:r>
        <w:rPr>
          <w:rFonts w:hint="eastAsia" w:cs="仿宋_GB2312"/>
          <w:color w:val="auto"/>
          <w:sz w:val="32"/>
          <w:szCs w:val="40"/>
          <w:highlight w:val="none"/>
          <w:lang w:val="en-US" w:eastAsia="zh-CN"/>
        </w:rPr>
        <w:t>2.申报材料提交后原则上不能再变更申报材料，闽清县产业投资有限公司统一通知的除外。在征集期间，申报材料相关信息发生重大变更的，申报机构应及时告知。</w:t>
      </w:r>
    </w:p>
    <w:p w14:paraId="471A2583">
      <w:pPr>
        <w:overflowPunct w:val="0"/>
        <w:topLinePunct/>
        <w:snapToGrid w:val="0"/>
        <w:spacing w:line="560" w:lineRule="exact"/>
        <w:ind w:firstLine="640" w:firstLineChars="200"/>
        <w:rPr>
          <w:rFonts w:hint="eastAsia" w:cs="仿宋_GB2312"/>
          <w:color w:val="auto"/>
          <w:sz w:val="32"/>
          <w:szCs w:val="40"/>
          <w:highlight w:val="none"/>
          <w:lang w:val="en-US" w:eastAsia="zh-CN"/>
        </w:rPr>
      </w:pPr>
      <w:r>
        <w:rPr>
          <w:rFonts w:hint="eastAsia" w:cs="仿宋_GB2312"/>
          <w:color w:val="auto"/>
          <w:sz w:val="32"/>
          <w:szCs w:val="40"/>
          <w:highlight w:val="none"/>
          <w:lang w:val="en-US" w:eastAsia="zh-CN"/>
        </w:rPr>
        <w:t>3.申报机构就申报材料的合法性、真实性、有效性、一致性、完整性承担法律责任。</w:t>
      </w:r>
    </w:p>
    <w:p w14:paraId="4D029F52">
      <w:pPr>
        <w:overflowPunct w:val="0"/>
        <w:topLinePunct/>
        <w:snapToGrid w:val="0"/>
        <w:spacing w:line="560" w:lineRule="exact"/>
        <w:ind w:firstLine="640" w:firstLineChars="200"/>
        <w:rPr>
          <w:rFonts w:hint="eastAsia" w:cs="仿宋_GB2312"/>
          <w:color w:val="auto"/>
          <w:sz w:val="32"/>
          <w:szCs w:val="40"/>
          <w:highlight w:val="none"/>
          <w:lang w:val="en-US" w:eastAsia="zh-CN"/>
        </w:rPr>
      </w:pPr>
      <w:r>
        <w:rPr>
          <w:rFonts w:hint="eastAsia" w:cs="仿宋_GB2312"/>
          <w:color w:val="auto"/>
          <w:sz w:val="32"/>
          <w:szCs w:val="40"/>
          <w:highlight w:val="none"/>
          <w:lang w:val="en-US" w:eastAsia="zh-CN"/>
        </w:rPr>
        <w:t>4.申报方案及相关条款经协商后不能符合相关规定要求的，视为主动放弃申报。</w:t>
      </w:r>
    </w:p>
    <w:p w14:paraId="0B66A208">
      <w:pPr>
        <w:pStyle w:val="10"/>
        <w:rPr>
          <w:rFonts w:hint="eastAsia"/>
          <w:lang w:val="en-US" w:eastAsia="zh-CN"/>
        </w:rPr>
      </w:pPr>
    </w:p>
    <w:p w14:paraId="7F113EA0">
      <w:pPr>
        <w:pStyle w:val="23"/>
        <w:bidi w:val="0"/>
        <w:rPr>
          <w:rFonts w:hint="eastAsia"/>
          <w:color w:val="auto"/>
          <w:highlight w:val="none"/>
        </w:rPr>
      </w:pPr>
    </w:p>
    <w:p w14:paraId="3650AC08">
      <w:pPr>
        <w:pStyle w:val="23"/>
        <w:bidi w:val="0"/>
        <w:rPr>
          <w:rFonts w:hint="eastAsia" w:eastAsia="仿宋_GB2312"/>
          <w:color w:val="auto"/>
          <w:highlight w:val="none"/>
          <w:lang w:eastAsia="zh-CN"/>
        </w:rPr>
      </w:pPr>
      <w:r>
        <w:rPr>
          <w:rFonts w:hint="eastAsia"/>
          <w:color w:val="auto"/>
          <w:highlight w:val="none"/>
        </w:rPr>
        <w:t>附件：1.合规自评表</w:t>
      </w:r>
    </w:p>
    <w:p w14:paraId="7C6ED5DC">
      <w:pPr>
        <w:pStyle w:val="23"/>
        <w:bidi w:val="0"/>
        <w:rPr>
          <w:color w:val="auto"/>
          <w:highlight w:val="none"/>
        </w:rPr>
      </w:pPr>
      <w:r>
        <w:rPr>
          <w:rFonts w:hint="eastAsia"/>
          <w:color w:val="auto"/>
          <w:highlight w:val="none"/>
        </w:rPr>
        <w:t xml:space="preserve">      2.基金设立方案</w:t>
      </w:r>
    </w:p>
    <w:p w14:paraId="1C6BF261">
      <w:pPr>
        <w:pStyle w:val="23"/>
        <w:numPr>
          <w:ilvl w:val="0"/>
          <w:numId w:val="0"/>
        </w:numPr>
        <w:bidi w:val="0"/>
        <w:ind w:left="1600" w:leftChars="0" w:firstLine="0" w:firstLineChars="0"/>
        <w:rPr>
          <w:rFonts w:hint="eastAsia"/>
          <w:color w:val="auto"/>
          <w:highlight w:val="none"/>
        </w:rPr>
      </w:pPr>
      <w:r>
        <w:rPr>
          <w:rFonts w:hint="eastAsia" w:ascii="仿宋" w:hAnsi="仿宋" w:eastAsia="仿宋_GB2312" w:cstheme="minorBidi"/>
          <w:color w:val="auto"/>
          <w:kern w:val="2"/>
          <w:sz w:val="32"/>
          <w:szCs w:val="24"/>
          <w:highlight w:val="none"/>
          <w:lang w:val="en-US" w:eastAsia="zh-CN" w:bidi="ar-SA"/>
        </w:rPr>
        <w:t>3.</w:t>
      </w:r>
      <w:r>
        <w:rPr>
          <w:rFonts w:hint="eastAsia"/>
          <w:color w:val="auto"/>
          <w:highlight w:val="none"/>
        </w:rPr>
        <w:t>申报机构承诺函</w:t>
      </w:r>
    </w:p>
    <w:p w14:paraId="5AC87079">
      <w:pPr>
        <w:pStyle w:val="23"/>
        <w:numPr>
          <w:ilvl w:val="0"/>
          <w:numId w:val="0"/>
        </w:numPr>
        <w:bidi w:val="0"/>
        <w:ind w:left="1600" w:leftChars="0" w:firstLine="0" w:firstLineChars="0"/>
        <w:rPr>
          <w:rFonts w:hint="eastAsia"/>
          <w:color w:val="auto"/>
          <w:highlight w:val="none"/>
        </w:rPr>
      </w:pPr>
      <w:r>
        <w:rPr>
          <w:rFonts w:hint="eastAsia" w:ascii="仿宋" w:hAnsi="仿宋" w:eastAsia="仿宋_GB2312" w:cstheme="minorBidi"/>
          <w:color w:val="auto"/>
          <w:kern w:val="2"/>
          <w:sz w:val="32"/>
          <w:szCs w:val="24"/>
          <w:highlight w:val="none"/>
          <w:lang w:val="en-US" w:eastAsia="zh-CN" w:bidi="ar-SA"/>
        </w:rPr>
        <w:t>4.</w:t>
      </w:r>
      <w:r>
        <w:rPr>
          <w:rFonts w:hint="eastAsia"/>
          <w:color w:val="auto"/>
          <w:highlight w:val="none"/>
        </w:rPr>
        <w:t>申报机构填报附表</w:t>
      </w:r>
    </w:p>
    <w:p w14:paraId="4053F672">
      <w:pPr>
        <w:pStyle w:val="23"/>
        <w:numPr>
          <w:ilvl w:val="0"/>
          <w:numId w:val="0"/>
        </w:numPr>
        <w:ind w:left="1600" w:firstLine="0" w:firstLineChars="0"/>
        <w:rPr>
          <w:rFonts w:hint="default"/>
          <w:color w:val="auto"/>
          <w:highlight w:val="none"/>
          <w:lang w:val="en-US" w:eastAsia="zh-CN"/>
        </w:rPr>
      </w:pPr>
      <w:r>
        <w:rPr>
          <w:rFonts w:hint="eastAsia"/>
          <w:color w:val="auto"/>
          <w:highlight w:val="none"/>
          <w:lang w:val="en-US" w:eastAsia="zh-CN"/>
        </w:rPr>
        <w:t>5.装订清单</w:t>
      </w:r>
    </w:p>
    <w:p w14:paraId="7FB8333B">
      <w:pPr>
        <w:pStyle w:val="23"/>
        <w:numPr>
          <w:ilvl w:val="0"/>
          <w:numId w:val="0"/>
        </w:numPr>
        <w:ind w:left="1600" w:firstLine="0" w:firstLineChars="0"/>
        <w:rPr>
          <w:rFonts w:hint="default"/>
          <w:color w:val="auto"/>
          <w:highlight w:val="none"/>
          <w:lang w:val="en-US" w:eastAsia="zh-CN"/>
        </w:rPr>
      </w:pP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03480D-DC13-4F71-A86C-AA976F6CF4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F0CCFD9-6D98-427A-B8F8-C55DEB28A2CA}"/>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E6EDB4E2-A38C-459B-85C5-484CF9970B5F}"/>
  </w:font>
  <w:font w:name="微软雅黑">
    <w:panose1 w:val="020B0503020204020204"/>
    <w:charset w:val="86"/>
    <w:family w:val="auto"/>
    <w:pitch w:val="default"/>
    <w:sig w:usb0="80000287" w:usb1="2ACF3C50" w:usb2="00000016" w:usb3="00000000" w:csb0="0004001F" w:csb1="00000000"/>
    <w:embedRegular r:id="rId4" w:fontKey="{8DB39403-61AA-4FEB-A0F1-E85E0F6C3342}"/>
  </w:font>
  <w:font w:name="方正小标宋_GBK">
    <w:panose1 w:val="03000509000000000000"/>
    <w:charset w:val="86"/>
    <w:family w:val="auto"/>
    <w:pitch w:val="default"/>
    <w:sig w:usb0="00000001" w:usb1="080E0000" w:usb2="00000000" w:usb3="00000000" w:csb0="00040000" w:csb1="00000000"/>
    <w:embedRegular r:id="rId5" w:fontKey="{87E04CB7-60FF-46BB-A676-92104C047E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938BD">
    <w:pPr>
      <w:pStyle w:val="11"/>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252095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82B8B">
                          <w:pPr>
                            <w:pStyle w:val="11"/>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rPr>
                              <w:rStyle w:val="19"/>
                              <w:rFonts w:hint="default" w:ascii="宋体" w:hAnsi="宋体" w:eastAsia="宋体"/>
                              <w:sz w:val="28"/>
                              <w:szCs w:val="28"/>
                              <w:lang w:val="en-US" w:eastAsia="zh-CN"/>
                            </w:rPr>
                          </w:pPr>
                          <w:r>
                            <w:rPr>
                              <w:rStyle w:val="19"/>
                              <w:rFonts w:hint="default" w:ascii="宋体" w:hAnsi="宋体" w:eastAsia="宋体"/>
                              <w:sz w:val="28"/>
                              <w:szCs w:val="28"/>
                              <w:lang w:val="en-US" w:eastAsia="zh-CN"/>
                            </w:rPr>
                            <w:t xml:space="preserve">— </w:t>
                          </w:r>
                          <w:r>
                            <w:rPr>
                              <w:rStyle w:val="19"/>
                              <w:rFonts w:hint="default" w:ascii="宋体" w:hAnsi="宋体" w:eastAsia="宋体"/>
                              <w:sz w:val="28"/>
                              <w:szCs w:val="28"/>
                              <w:lang w:val="en-US" w:eastAsia="zh-CN"/>
                            </w:rPr>
                            <w:fldChar w:fldCharType="begin"/>
                          </w:r>
                          <w:r>
                            <w:rPr>
                              <w:rStyle w:val="19"/>
                              <w:rFonts w:hint="default" w:ascii="宋体" w:hAnsi="宋体" w:eastAsia="宋体"/>
                              <w:sz w:val="28"/>
                              <w:szCs w:val="28"/>
                              <w:lang w:val="en-US" w:eastAsia="zh-CN"/>
                            </w:rPr>
                            <w:instrText xml:space="preserve"> PAGE  \* MERGEFORMAT </w:instrText>
                          </w:r>
                          <w:r>
                            <w:rPr>
                              <w:rStyle w:val="19"/>
                              <w:rFonts w:hint="default" w:ascii="宋体" w:hAnsi="宋体" w:eastAsia="宋体"/>
                              <w:sz w:val="28"/>
                              <w:szCs w:val="28"/>
                              <w:lang w:val="en-US" w:eastAsia="zh-CN"/>
                            </w:rPr>
                            <w:fldChar w:fldCharType="separate"/>
                          </w:r>
                          <w:r>
                            <w:rPr>
                              <w:rStyle w:val="19"/>
                              <w:rFonts w:hint="default" w:ascii="宋体" w:hAnsi="宋体" w:eastAsia="宋体"/>
                              <w:sz w:val="28"/>
                              <w:szCs w:val="28"/>
                              <w:lang w:val="en-US" w:eastAsia="zh-CN"/>
                            </w:rPr>
                            <w:t>- 1 -</w:t>
                          </w:r>
                          <w:r>
                            <w:rPr>
                              <w:rStyle w:val="19"/>
                              <w:rFonts w:hint="default" w:ascii="宋体" w:hAnsi="宋体" w:eastAsia="宋体"/>
                              <w:sz w:val="28"/>
                              <w:szCs w:val="28"/>
                              <w:lang w:val="en-US" w:eastAsia="zh-CN"/>
                            </w:rPr>
                            <w:fldChar w:fldCharType="end"/>
                          </w:r>
                          <w:r>
                            <w:rPr>
                              <w:rStyle w:val="19"/>
                              <w:rFonts w:hint="default" w:ascii="宋体" w:hAnsi="宋体" w:eastAsia="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6.1pt;margin-top:756.15pt;height:144pt;width:144pt;mso-position-horizontal-relative:page;mso-position-vertical-relative:page;mso-wrap-style:none;z-index:251659264;mso-width-relative:page;mso-height-relative:page;" filled="f" stroked="f" coordsize="21600,21600" o:gfxdata="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59gfU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7E082B8B">
                    <w:pPr>
                      <w:pStyle w:val="11"/>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rPr>
                        <w:rStyle w:val="19"/>
                        <w:rFonts w:hint="default" w:ascii="宋体" w:hAnsi="宋体" w:eastAsia="宋体"/>
                        <w:sz w:val="28"/>
                        <w:szCs w:val="28"/>
                        <w:lang w:val="en-US" w:eastAsia="zh-CN"/>
                      </w:rPr>
                    </w:pPr>
                    <w:r>
                      <w:rPr>
                        <w:rStyle w:val="19"/>
                        <w:rFonts w:hint="default" w:ascii="宋体" w:hAnsi="宋体" w:eastAsia="宋体"/>
                        <w:sz w:val="28"/>
                        <w:szCs w:val="28"/>
                        <w:lang w:val="en-US" w:eastAsia="zh-CN"/>
                      </w:rPr>
                      <w:t xml:space="preserve">— </w:t>
                    </w:r>
                    <w:r>
                      <w:rPr>
                        <w:rStyle w:val="19"/>
                        <w:rFonts w:hint="default" w:ascii="宋体" w:hAnsi="宋体" w:eastAsia="宋体"/>
                        <w:sz w:val="28"/>
                        <w:szCs w:val="28"/>
                        <w:lang w:val="en-US" w:eastAsia="zh-CN"/>
                      </w:rPr>
                      <w:fldChar w:fldCharType="begin"/>
                    </w:r>
                    <w:r>
                      <w:rPr>
                        <w:rStyle w:val="19"/>
                        <w:rFonts w:hint="default" w:ascii="宋体" w:hAnsi="宋体" w:eastAsia="宋体"/>
                        <w:sz w:val="28"/>
                        <w:szCs w:val="28"/>
                        <w:lang w:val="en-US" w:eastAsia="zh-CN"/>
                      </w:rPr>
                      <w:instrText xml:space="preserve"> PAGE  \* MERGEFORMAT </w:instrText>
                    </w:r>
                    <w:r>
                      <w:rPr>
                        <w:rStyle w:val="19"/>
                        <w:rFonts w:hint="default" w:ascii="宋体" w:hAnsi="宋体" w:eastAsia="宋体"/>
                        <w:sz w:val="28"/>
                        <w:szCs w:val="28"/>
                        <w:lang w:val="en-US" w:eastAsia="zh-CN"/>
                      </w:rPr>
                      <w:fldChar w:fldCharType="separate"/>
                    </w:r>
                    <w:r>
                      <w:rPr>
                        <w:rStyle w:val="19"/>
                        <w:rFonts w:hint="default" w:ascii="宋体" w:hAnsi="宋体" w:eastAsia="宋体"/>
                        <w:sz w:val="28"/>
                        <w:szCs w:val="28"/>
                        <w:lang w:val="en-US" w:eastAsia="zh-CN"/>
                      </w:rPr>
                      <w:t>- 1 -</w:t>
                    </w:r>
                    <w:r>
                      <w:rPr>
                        <w:rStyle w:val="19"/>
                        <w:rFonts w:hint="default" w:ascii="宋体" w:hAnsi="宋体" w:eastAsia="宋体"/>
                        <w:sz w:val="28"/>
                        <w:szCs w:val="28"/>
                        <w:lang w:val="en-US" w:eastAsia="zh-CN"/>
                      </w:rPr>
                      <w:fldChar w:fldCharType="end"/>
                    </w:r>
                    <w:r>
                      <w:rPr>
                        <w:rStyle w:val="19"/>
                        <w:rFonts w:hint="default" w:ascii="宋体" w:hAnsi="宋体" w:eastAsia="宋体"/>
                        <w:sz w:val="28"/>
                        <w:szCs w:val="28"/>
                        <w:lang w:val="en-US" w:eastAsia="zh-CN"/>
                      </w:rPr>
                      <w:t xml:space="preserve"> —</w:t>
                    </w:r>
                  </w:p>
                </w:txbxContent>
              </v:textbox>
            </v:shape>
          </w:pict>
        </mc:Fallback>
      </mc:AlternateContent>
    </w:r>
  </w:p>
  <w:p w14:paraId="21DE43F6">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NWNkOGQ5OGVlNDI0OGNmYjQ0MzFmZGM3ZDI3MDgifQ=="/>
  </w:docVars>
  <w:rsids>
    <w:rsidRoot w:val="00172A27"/>
    <w:rsid w:val="000246DD"/>
    <w:rsid w:val="000F214C"/>
    <w:rsid w:val="00315388"/>
    <w:rsid w:val="007A1658"/>
    <w:rsid w:val="00B474BB"/>
    <w:rsid w:val="00FD2213"/>
    <w:rsid w:val="01080A12"/>
    <w:rsid w:val="02661E94"/>
    <w:rsid w:val="035260CE"/>
    <w:rsid w:val="038D4FAA"/>
    <w:rsid w:val="042F4DEA"/>
    <w:rsid w:val="0462039F"/>
    <w:rsid w:val="05542E41"/>
    <w:rsid w:val="05662A5E"/>
    <w:rsid w:val="056A1D91"/>
    <w:rsid w:val="05C0423C"/>
    <w:rsid w:val="05C13128"/>
    <w:rsid w:val="05E57C1D"/>
    <w:rsid w:val="06764670"/>
    <w:rsid w:val="0699503C"/>
    <w:rsid w:val="06AF1FCB"/>
    <w:rsid w:val="06C67278"/>
    <w:rsid w:val="071F09D2"/>
    <w:rsid w:val="074D5B67"/>
    <w:rsid w:val="07633AC3"/>
    <w:rsid w:val="07B160CC"/>
    <w:rsid w:val="07E94A52"/>
    <w:rsid w:val="082601CE"/>
    <w:rsid w:val="084E1401"/>
    <w:rsid w:val="089977FE"/>
    <w:rsid w:val="08B5322E"/>
    <w:rsid w:val="0907397C"/>
    <w:rsid w:val="0B1903F7"/>
    <w:rsid w:val="0B34014C"/>
    <w:rsid w:val="0B3619CE"/>
    <w:rsid w:val="0B7106F9"/>
    <w:rsid w:val="0B8054CC"/>
    <w:rsid w:val="0B9C2483"/>
    <w:rsid w:val="0BD12344"/>
    <w:rsid w:val="0BE30FD3"/>
    <w:rsid w:val="0BF142C8"/>
    <w:rsid w:val="0C995891"/>
    <w:rsid w:val="0CCD4FAB"/>
    <w:rsid w:val="0D341E12"/>
    <w:rsid w:val="0D577817"/>
    <w:rsid w:val="0D58062B"/>
    <w:rsid w:val="0DC46801"/>
    <w:rsid w:val="0DD876E1"/>
    <w:rsid w:val="0F402FC0"/>
    <w:rsid w:val="0FCB1589"/>
    <w:rsid w:val="10241BC9"/>
    <w:rsid w:val="10885949"/>
    <w:rsid w:val="110C7BFC"/>
    <w:rsid w:val="110D3EBD"/>
    <w:rsid w:val="11523B9E"/>
    <w:rsid w:val="12A34963"/>
    <w:rsid w:val="13362AB3"/>
    <w:rsid w:val="135B0E75"/>
    <w:rsid w:val="136328AB"/>
    <w:rsid w:val="13B12060"/>
    <w:rsid w:val="14AB3737"/>
    <w:rsid w:val="14D83E5C"/>
    <w:rsid w:val="15727039"/>
    <w:rsid w:val="15C82EFC"/>
    <w:rsid w:val="15DB629E"/>
    <w:rsid w:val="15FC7E67"/>
    <w:rsid w:val="16325D4A"/>
    <w:rsid w:val="16607149"/>
    <w:rsid w:val="16C51375"/>
    <w:rsid w:val="17090A15"/>
    <w:rsid w:val="170C6C45"/>
    <w:rsid w:val="17820AD9"/>
    <w:rsid w:val="193C3D30"/>
    <w:rsid w:val="19776340"/>
    <w:rsid w:val="19832ED4"/>
    <w:rsid w:val="19BE5CBA"/>
    <w:rsid w:val="1A243B07"/>
    <w:rsid w:val="1A847D4A"/>
    <w:rsid w:val="1B41690A"/>
    <w:rsid w:val="1B8A557E"/>
    <w:rsid w:val="1BAB594C"/>
    <w:rsid w:val="1BB852A0"/>
    <w:rsid w:val="1C1D316C"/>
    <w:rsid w:val="1C556DAA"/>
    <w:rsid w:val="1C626A68"/>
    <w:rsid w:val="1C6A4F58"/>
    <w:rsid w:val="1C8166F6"/>
    <w:rsid w:val="1C820C98"/>
    <w:rsid w:val="1C986C96"/>
    <w:rsid w:val="1CBD3E12"/>
    <w:rsid w:val="1D106FD3"/>
    <w:rsid w:val="1D467C25"/>
    <w:rsid w:val="1D81597C"/>
    <w:rsid w:val="1DC00FE3"/>
    <w:rsid w:val="1DF6181F"/>
    <w:rsid w:val="1E1112E1"/>
    <w:rsid w:val="1E6A6411"/>
    <w:rsid w:val="1FF527DD"/>
    <w:rsid w:val="1FFD521F"/>
    <w:rsid w:val="200776FC"/>
    <w:rsid w:val="20333325"/>
    <w:rsid w:val="205D1581"/>
    <w:rsid w:val="20600BDD"/>
    <w:rsid w:val="20CD59A0"/>
    <w:rsid w:val="20EB7D31"/>
    <w:rsid w:val="212D79FC"/>
    <w:rsid w:val="224B0307"/>
    <w:rsid w:val="228A6744"/>
    <w:rsid w:val="228F085F"/>
    <w:rsid w:val="230E4D25"/>
    <w:rsid w:val="23BA67D3"/>
    <w:rsid w:val="245E4322"/>
    <w:rsid w:val="24912BDE"/>
    <w:rsid w:val="255D053C"/>
    <w:rsid w:val="25A32490"/>
    <w:rsid w:val="25BA5ED0"/>
    <w:rsid w:val="25D215AC"/>
    <w:rsid w:val="27136DFC"/>
    <w:rsid w:val="272C573E"/>
    <w:rsid w:val="273B58DA"/>
    <w:rsid w:val="27804026"/>
    <w:rsid w:val="28241945"/>
    <w:rsid w:val="28497097"/>
    <w:rsid w:val="2967011C"/>
    <w:rsid w:val="2976371B"/>
    <w:rsid w:val="297840D8"/>
    <w:rsid w:val="29DC484D"/>
    <w:rsid w:val="2A1105F5"/>
    <w:rsid w:val="2AF17C04"/>
    <w:rsid w:val="2B123B4A"/>
    <w:rsid w:val="2BEC4909"/>
    <w:rsid w:val="2C343454"/>
    <w:rsid w:val="2C4319DC"/>
    <w:rsid w:val="2CDB5425"/>
    <w:rsid w:val="2CE454FC"/>
    <w:rsid w:val="2D3813E7"/>
    <w:rsid w:val="2D935F29"/>
    <w:rsid w:val="2D9C1BA1"/>
    <w:rsid w:val="2DEF248E"/>
    <w:rsid w:val="2E2C15B4"/>
    <w:rsid w:val="2E2C74AE"/>
    <w:rsid w:val="2E473F1C"/>
    <w:rsid w:val="2E5C49E4"/>
    <w:rsid w:val="2ECE29C6"/>
    <w:rsid w:val="2ECF0BC2"/>
    <w:rsid w:val="2F2A7FD9"/>
    <w:rsid w:val="2F4F5C40"/>
    <w:rsid w:val="2F6B5488"/>
    <w:rsid w:val="2F7B222C"/>
    <w:rsid w:val="2F7FA34F"/>
    <w:rsid w:val="2FC9668F"/>
    <w:rsid w:val="302205B3"/>
    <w:rsid w:val="313B1EBA"/>
    <w:rsid w:val="3163741B"/>
    <w:rsid w:val="31787BF3"/>
    <w:rsid w:val="31FB05C7"/>
    <w:rsid w:val="320811AE"/>
    <w:rsid w:val="32C04190"/>
    <w:rsid w:val="32E7528C"/>
    <w:rsid w:val="33154745"/>
    <w:rsid w:val="33C1483B"/>
    <w:rsid w:val="33FC4A22"/>
    <w:rsid w:val="348249FB"/>
    <w:rsid w:val="34DD74E5"/>
    <w:rsid w:val="35BE0B65"/>
    <w:rsid w:val="35F920FC"/>
    <w:rsid w:val="360840A3"/>
    <w:rsid w:val="364854DA"/>
    <w:rsid w:val="366C5766"/>
    <w:rsid w:val="36EF3811"/>
    <w:rsid w:val="36F305C2"/>
    <w:rsid w:val="3701395E"/>
    <w:rsid w:val="37121381"/>
    <w:rsid w:val="371B1497"/>
    <w:rsid w:val="38165CBA"/>
    <w:rsid w:val="381F4C5A"/>
    <w:rsid w:val="386225B7"/>
    <w:rsid w:val="38682E11"/>
    <w:rsid w:val="38AD254B"/>
    <w:rsid w:val="38FF3ECD"/>
    <w:rsid w:val="397856C4"/>
    <w:rsid w:val="398B4880"/>
    <w:rsid w:val="399F2D01"/>
    <w:rsid w:val="3A995C5C"/>
    <w:rsid w:val="3AE4493D"/>
    <w:rsid w:val="3BA6272A"/>
    <w:rsid w:val="3D586E77"/>
    <w:rsid w:val="3DB536AE"/>
    <w:rsid w:val="3E265A58"/>
    <w:rsid w:val="3E5F18CE"/>
    <w:rsid w:val="3E911E2D"/>
    <w:rsid w:val="3EA77909"/>
    <w:rsid w:val="3EF57EE5"/>
    <w:rsid w:val="3EFE29CC"/>
    <w:rsid w:val="3F033FEC"/>
    <w:rsid w:val="3F935E11"/>
    <w:rsid w:val="3FE77469"/>
    <w:rsid w:val="4050500F"/>
    <w:rsid w:val="4095402E"/>
    <w:rsid w:val="413F0896"/>
    <w:rsid w:val="416009D6"/>
    <w:rsid w:val="41700285"/>
    <w:rsid w:val="41E4577E"/>
    <w:rsid w:val="421F256D"/>
    <w:rsid w:val="42252A63"/>
    <w:rsid w:val="43060664"/>
    <w:rsid w:val="430B346F"/>
    <w:rsid w:val="441D09AD"/>
    <w:rsid w:val="443E693D"/>
    <w:rsid w:val="444160A0"/>
    <w:rsid w:val="44817F02"/>
    <w:rsid w:val="449366D5"/>
    <w:rsid w:val="44DE32C7"/>
    <w:rsid w:val="451D4D6A"/>
    <w:rsid w:val="45AF12BB"/>
    <w:rsid w:val="45F21317"/>
    <w:rsid w:val="463D7F6C"/>
    <w:rsid w:val="46401681"/>
    <w:rsid w:val="46835337"/>
    <w:rsid w:val="46F044CB"/>
    <w:rsid w:val="47546B64"/>
    <w:rsid w:val="479A2167"/>
    <w:rsid w:val="48BF71D5"/>
    <w:rsid w:val="48D176B1"/>
    <w:rsid w:val="4902794C"/>
    <w:rsid w:val="495A16E6"/>
    <w:rsid w:val="496A53AC"/>
    <w:rsid w:val="49E36EF3"/>
    <w:rsid w:val="4AC35D95"/>
    <w:rsid w:val="4ACE33B8"/>
    <w:rsid w:val="4B724C96"/>
    <w:rsid w:val="4C13529D"/>
    <w:rsid w:val="4C1903BC"/>
    <w:rsid w:val="4C73648A"/>
    <w:rsid w:val="4C8B6180"/>
    <w:rsid w:val="4CEA634C"/>
    <w:rsid w:val="4D0D43E6"/>
    <w:rsid w:val="4DB46DAD"/>
    <w:rsid w:val="4DDA25BD"/>
    <w:rsid w:val="4DDF0010"/>
    <w:rsid w:val="4E586A38"/>
    <w:rsid w:val="4E5A4C52"/>
    <w:rsid w:val="4E7E368F"/>
    <w:rsid w:val="4ECB1E0A"/>
    <w:rsid w:val="4EEFBCE8"/>
    <w:rsid w:val="4F7BC05D"/>
    <w:rsid w:val="4FC01699"/>
    <w:rsid w:val="4FC63C54"/>
    <w:rsid w:val="4FD35189"/>
    <w:rsid w:val="4FDC27F1"/>
    <w:rsid w:val="4FF930E5"/>
    <w:rsid w:val="501E6ED7"/>
    <w:rsid w:val="50746D3A"/>
    <w:rsid w:val="50942DAE"/>
    <w:rsid w:val="50BF6246"/>
    <w:rsid w:val="517D7C03"/>
    <w:rsid w:val="51FE7AF4"/>
    <w:rsid w:val="52AB2578"/>
    <w:rsid w:val="52BE04FE"/>
    <w:rsid w:val="533A5A08"/>
    <w:rsid w:val="546311AC"/>
    <w:rsid w:val="54731EA0"/>
    <w:rsid w:val="54A320E2"/>
    <w:rsid w:val="54FE702D"/>
    <w:rsid w:val="551D04D3"/>
    <w:rsid w:val="55777228"/>
    <w:rsid w:val="55D02A65"/>
    <w:rsid w:val="55D41DE6"/>
    <w:rsid w:val="55EB1C27"/>
    <w:rsid w:val="561B017B"/>
    <w:rsid w:val="561D44AF"/>
    <w:rsid w:val="563D0E87"/>
    <w:rsid w:val="56651D73"/>
    <w:rsid w:val="567611B8"/>
    <w:rsid w:val="56B50FE5"/>
    <w:rsid w:val="575120B3"/>
    <w:rsid w:val="58797907"/>
    <w:rsid w:val="58DA3BE0"/>
    <w:rsid w:val="594D6D78"/>
    <w:rsid w:val="59B11EBE"/>
    <w:rsid w:val="5A0A18A0"/>
    <w:rsid w:val="5A1E1882"/>
    <w:rsid w:val="5AA42048"/>
    <w:rsid w:val="5AED4DD8"/>
    <w:rsid w:val="5AF32D0E"/>
    <w:rsid w:val="5AFC23DC"/>
    <w:rsid w:val="5B1D419D"/>
    <w:rsid w:val="5B9023E3"/>
    <w:rsid w:val="5BCA21A1"/>
    <w:rsid w:val="5BF10D78"/>
    <w:rsid w:val="5C5D7FDC"/>
    <w:rsid w:val="5C8E7193"/>
    <w:rsid w:val="5C9F6CAA"/>
    <w:rsid w:val="5CC848AA"/>
    <w:rsid w:val="5CD12D9F"/>
    <w:rsid w:val="5D280A87"/>
    <w:rsid w:val="5D366502"/>
    <w:rsid w:val="5D4E247E"/>
    <w:rsid w:val="5D7172BA"/>
    <w:rsid w:val="5D861C18"/>
    <w:rsid w:val="5DF5802D"/>
    <w:rsid w:val="5E2C0FBC"/>
    <w:rsid w:val="5E300B46"/>
    <w:rsid w:val="5E853794"/>
    <w:rsid w:val="5EC549C2"/>
    <w:rsid w:val="5F3D27AA"/>
    <w:rsid w:val="5F6BBBC4"/>
    <w:rsid w:val="5F955872"/>
    <w:rsid w:val="5FA83F00"/>
    <w:rsid w:val="5FE85592"/>
    <w:rsid w:val="60BF1870"/>
    <w:rsid w:val="61811074"/>
    <w:rsid w:val="61ED495B"/>
    <w:rsid w:val="620D06B3"/>
    <w:rsid w:val="626F6F87"/>
    <w:rsid w:val="634C17DF"/>
    <w:rsid w:val="63D45751"/>
    <w:rsid w:val="644655A4"/>
    <w:rsid w:val="648F5856"/>
    <w:rsid w:val="64DC0251"/>
    <w:rsid w:val="65576856"/>
    <w:rsid w:val="657591D4"/>
    <w:rsid w:val="659D799E"/>
    <w:rsid w:val="65B54FD2"/>
    <w:rsid w:val="65C14135"/>
    <w:rsid w:val="65DC6FA7"/>
    <w:rsid w:val="660F2DA7"/>
    <w:rsid w:val="667D4E7F"/>
    <w:rsid w:val="67444360"/>
    <w:rsid w:val="67B937C6"/>
    <w:rsid w:val="67E339FA"/>
    <w:rsid w:val="681E0626"/>
    <w:rsid w:val="685C1EF3"/>
    <w:rsid w:val="68716389"/>
    <w:rsid w:val="68BB516C"/>
    <w:rsid w:val="68FF7DB9"/>
    <w:rsid w:val="69B1626F"/>
    <w:rsid w:val="69B95A7F"/>
    <w:rsid w:val="6A13752C"/>
    <w:rsid w:val="6A5D50CE"/>
    <w:rsid w:val="6ABF5B88"/>
    <w:rsid w:val="6AF723A7"/>
    <w:rsid w:val="6B5E41D4"/>
    <w:rsid w:val="6BAB74A4"/>
    <w:rsid w:val="6C156B1E"/>
    <w:rsid w:val="6C767D6A"/>
    <w:rsid w:val="6D1F4762"/>
    <w:rsid w:val="6D220E5F"/>
    <w:rsid w:val="6E50474B"/>
    <w:rsid w:val="6E5C5F84"/>
    <w:rsid w:val="6E6164B5"/>
    <w:rsid w:val="6E8B0DCB"/>
    <w:rsid w:val="6F0FD0FC"/>
    <w:rsid w:val="6FAE28B9"/>
    <w:rsid w:val="6FC06483"/>
    <w:rsid w:val="6FDC6D6E"/>
    <w:rsid w:val="70E13F88"/>
    <w:rsid w:val="70F74EAF"/>
    <w:rsid w:val="711D41EA"/>
    <w:rsid w:val="721E06EA"/>
    <w:rsid w:val="723F0D69"/>
    <w:rsid w:val="73C20AD7"/>
    <w:rsid w:val="73E17238"/>
    <w:rsid w:val="73E334C8"/>
    <w:rsid w:val="742570C5"/>
    <w:rsid w:val="743B6E01"/>
    <w:rsid w:val="744A35A3"/>
    <w:rsid w:val="747F59FC"/>
    <w:rsid w:val="74B4476C"/>
    <w:rsid w:val="74D52F80"/>
    <w:rsid w:val="74FA31C0"/>
    <w:rsid w:val="74FD2437"/>
    <w:rsid w:val="751F3C47"/>
    <w:rsid w:val="751F7208"/>
    <w:rsid w:val="75824AFA"/>
    <w:rsid w:val="75975125"/>
    <w:rsid w:val="75A42D10"/>
    <w:rsid w:val="75B57FDA"/>
    <w:rsid w:val="769A6234"/>
    <w:rsid w:val="774C2656"/>
    <w:rsid w:val="77ABC4B3"/>
    <w:rsid w:val="77EC0B6E"/>
    <w:rsid w:val="78774248"/>
    <w:rsid w:val="78D215A5"/>
    <w:rsid w:val="78F45A6B"/>
    <w:rsid w:val="78F564AD"/>
    <w:rsid w:val="79644AE9"/>
    <w:rsid w:val="79BB4BB1"/>
    <w:rsid w:val="7A981C75"/>
    <w:rsid w:val="7A9D712C"/>
    <w:rsid w:val="7AA85669"/>
    <w:rsid w:val="7AAB6EF5"/>
    <w:rsid w:val="7ACB6A1D"/>
    <w:rsid w:val="7AD4506E"/>
    <w:rsid w:val="7AF724F2"/>
    <w:rsid w:val="7BB30F09"/>
    <w:rsid w:val="7BBF4BB8"/>
    <w:rsid w:val="7BD5D90D"/>
    <w:rsid w:val="7C0B3A47"/>
    <w:rsid w:val="7CAD6138"/>
    <w:rsid w:val="7D5A354C"/>
    <w:rsid w:val="7D5E88EA"/>
    <w:rsid w:val="7D927E6F"/>
    <w:rsid w:val="7DBB4BB9"/>
    <w:rsid w:val="7DDE576B"/>
    <w:rsid w:val="7E2C6321"/>
    <w:rsid w:val="7F1A2857"/>
    <w:rsid w:val="7F6D27E0"/>
    <w:rsid w:val="7F712912"/>
    <w:rsid w:val="7F7F2E52"/>
    <w:rsid w:val="7FAF2D51"/>
    <w:rsid w:val="7FE7446C"/>
    <w:rsid w:val="87FC739E"/>
    <w:rsid w:val="9BEFC184"/>
    <w:rsid w:val="A9DFB721"/>
    <w:rsid w:val="BDFF1FF6"/>
    <w:rsid w:val="BF7C75E3"/>
    <w:rsid w:val="CD3DBE3C"/>
    <w:rsid w:val="DFB5D37E"/>
    <w:rsid w:val="EE9BF26B"/>
    <w:rsid w:val="FAC71BF4"/>
    <w:rsid w:val="FBF508DE"/>
    <w:rsid w:val="FDEFA84B"/>
    <w:rsid w:val="FDFACC55"/>
    <w:rsid w:val="FEF9F1CC"/>
    <w:rsid w:val="FFEEE62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宋体" w:hAnsi="宋体" w:eastAsia="宋体" w:cs="宋体"/>
      <w:b/>
      <w:bCs/>
      <w:kern w:val="44"/>
      <w:sz w:val="32"/>
      <w:szCs w:val="32"/>
    </w:rPr>
  </w:style>
  <w:style w:type="paragraph" w:styleId="3">
    <w:name w:val="heading 2"/>
    <w:basedOn w:val="1"/>
    <w:next w:val="1"/>
    <w:semiHidden/>
    <w:unhideWhenUsed/>
    <w:qFormat/>
    <w:uiPriority w:val="0"/>
    <w:pPr>
      <w:keepNext/>
      <w:keepLines/>
      <w:spacing w:beforeLines="0" w:beforeAutospacing="0" w:afterLines="0" w:afterAutospacing="0" w:line="413" w:lineRule="auto"/>
      <w:outlineLvl w:val="1"/>
    </w:pPr>
    <w:rPr>
      <w:rFonts w:ascii="Arial" w:hAnsi="Arial" w:eastAsia="楷体"/>
      <w:sz w:val="32"/>
    </w:rPr>
  </w:style>
  <w:style w:type="paragraph" w:styleId="4">
    <w:name w:val="heading 3"/>
    <w:basedOn w:val="1"/>
    <w:next w:val="1"/>
    <w:link w:val="25"/>
    <w:semiHidden/>
    <w:unhideWhenUsed/>
    <w:qFormat/>
    <w:uiPriority w:val="0"/>
    <w:pPr>
      <w:keepNext/>
      <w:keepLines/>
      <w:spacing w:before="260" w:after="260" w:line="416" w:lineRule="auto"/>
      <w:outlineLvl w:val="2"/>
    </w:pPr>
    <w:rPr>
      <w:rFonts w:ascii="宋体" w:hAnsi="宋体" w:eastAsia="宋体" w:cs="宋体"/>
      <w:b/>
      <w:bCs/>
      <w:sz w:val="24"/>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cs="宋体"/>
      <w:b/>
      <w:sz w:val="28"/>
    </w:rPr>
  </w:style>
  <w:style w:type="paragraph" w:styleId="6">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8">
    <w:name w:val="Default Paragraph Font"/>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qFormat/>
    <w:uiPriority w:val="0"/>
    <w:pPr>
      <w:adjustRightInd w:val="0"/>
      <w:snapToGrid w:val="0"/>
      <w:jc w:val="center"/>
    </w:pPr>
  </w:style>
  <w:style w:type="paragraph" w:styleId="9">
    <w:name w:val="toc 3"/>
    <w:basedOn w:val="1"/>
    <w:next w:val="1"/>
    <w:qFormat/>
    <w:uiPriority w:val="0"/>
    <w:pPr>
      <w:tabs>
        <w:tab w:val="right" w:leader="dot" w:pos="8296"/>
      </w:tabs>
      <w:spacing w:line="360" w:lineRule="auto"/>
      <w:ind w:left="960" w:leftChars="400"/>
    </w:pPr>
    <w:rPr>
      <w:rFonts w:ascii="宋体" w:hAnsi="宋体" w:eastAsia="宋体" w:cs="宋体"/>
      <w:sz w:val="24"/>
    </w:rPr>
  </w:style>
  <w:style w:type="paragraph" w:styleId="10">
    <w:name w:val="Body Text Indent 2"/>
    <w:basedOn w:val="1"/>
    <w:qFormat/>
    <w:uiPriority w:val="0"/>
    <w:pPr>
      <w:spacing w:line="360" w:lineRule="auto"/>
      <w:ind w:right="279" w:rightChars="133" w:firstLine="640" w:firstLineChars="200"/>
    </w:pPr>
    <w:rPr>
      <w:rFonts w:ascii="仿宋_GB2312" w:eastAsia="仿宋_GB2312"/>
      <w:sz w:val="32"/>
      <w:szCs w:val="3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rPr>
  </w:style>
  <w:style w:type="paragraph" w:styleId="15">
    <w:name w:val="toc 2"/>
    <w:basedOn w:val="1"/>
    <w:next w:val="1"/>
    <w:qFormat/>
    <w:uiPriority w:val="0"/>
    <w:pPr>
      <w:tabs>
        <w:tab w:val="left" w:pos="851"/>
        <w:tab w:val="right" w:leader="dot" w:pos="8494"/>
      </w:tabs>
      <w:spacing w:line="360" w:lineRule="auto"/>
      <w:ind w:left="420" w:leftChars="200"/>
    </w:pPr>
    <w:rPr>
      <w:rFonts w:ascii="宋体" w:hAnsi="宋体" w:eastAsia="宋体" w:cs="Times New Roman"/>
      <w:sz w:val="24"/>
      <w:szCs w:val="22"/>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otnote reference"/>
    <w:basedOn w:val="18"/>
    <w:qFormat/>
    <w:uiPriority w:val="0"/>
    <w:rPr>
      <w:vertAlign w:val="superscript"/>
    </w:rPr>
  </w:style>
  <w:style w:type="paragraph" w:customStyle="1" w:styleId="21">
    <w:name w:val="标题2（一）"/>
    <w:basedOn w:val="3"/>
    <w:next w:val="1"/>
    <w:link w:val="28"/>
    <w:qFormat/>
    <w:uiPriority w:val="0"/>
    <w:pPr>
      <w:keepNext w:val="0"/>
      <w:keepLines w:val="0"/>
      <w:spacing w:line="560" w:lineRule="exact"/>
      <w:ind w:firstLine="641" w:firstLineChars="200"/>
    </w:pPr>
    <w:rPr>
      <w:rFonts w:ascii="楷体" w:hAnsi="楷体" w:cs="楷体"/>
    </w:rPr>
  </w:style>
  <w:style w:type="character" w:customStyle="1" w:styleId="22">
    <w:name w:val="标题 1 字符"/>
    <w:basedOn w:val="18"/>
    <w:link w:val="2"/>
    <w:qFormat/>
    <w:uiPriority w:val="9"/>
    <w:rPr>
      <w:rFonts w:ascii="宋体" w:hAnsi="宋体" w:eastAsia="宋体" w:cs="宋体"/>
      <w:b/>
      <w:bCs/>
      <w:kern w:val="44"/>
      <w:sz w:val="32"/>
      <w:szCs w:val="32"/>
    </w:rPr>
  </w:style>
  <w:style w:type="paragraph" w:customStyle="1" w:styleId="23">
    <w:name w:val="正文（正）"/>
    <w:basedOn w:val="1"/>
    <w:link w:val="24"/>
    <w:qFormat/>
    <w:uiPriority w:val="0"/>
    <w:pPr>
      <w:wordWrap/>
      <w:overflowPunct/>
      <w:spacing w:line="570" w:lineRule="exact"/>
      <w:ind w:firstLine="880" w:firstLineChars="200"/>
    </w:pPr>
    <w:rPr>
      <w:rFonts w:ascii="仿宋" w:hAnsi="仿宋" w:eastAsia="仿宋_GB2312"/>
      <w:sz w:val="32"/>
    </w:rPr>
  </w:style>
  <w:style w:type="character" w:customStyle="1" w:styleId="24">
    <w:name w:val="正文（official ） Char"/>
    <w:link w:val="23"/>
    <w:qFormat/>
    <w:uiPriority w:val="0"/>
    <w:rPr>
      <w:rFonts w:ascii="仿宋" w:hAnsi="仿宋" w:eastAsia="仿宋_GB2312"/>
      <w:sz w:val="32"/>
    </w:rPr>
  </w:style>
  <w:style w:type="character" w:customStyle="1" w:styleId="25">
    <w:name w:val="标题 3 字符"/>
    <w:basedOn w:val="18"/>
    <w:link w:val="4"/>
    <w:qFormat/>
    <w:uiPriority w:val="9"/>
    <w:rPr>
      <w:rFonts w:ascii="宋体" w:hAnsi="宋体" w:eastAsia="宋体" w:cs="宋体"/>
      <w:b/>
      <w:bCs/>
      <w:sz w:val="24"/>
      <w:szCs w:val="24"/>
    </w:rPr>
  </w:style>
  <w:style w:type="character" w:customStyle="1" w:styleId="26">
    <w:name w:val="标题1 Char"/>
    <w:link w:val="27"/>
    <w:qFormat/>
    <w:uiPriority w:val="0"/>
    <w:rPr>
      <w:rFonts w:hint="default" w:ascii="黑体" w:hAnsi="黑体" w:eastAsia="黑体" w:cs="黑体"/>
      <w:sz w:val="32"/>
      <w:szCs w:val="32"/>
    </w:rPr>
  </w:style>
  <w:style w:type="paragraph" w:customStyle="1" w:styleId="27">
    <w:name w:val="标题1 一、"/>
    <w:basedOn w:val="1"/>
    <w:link w:val="26"/>
    <w:qFormat/>
    <w:uiPriority w:val="0"/>
    <w:pPr>
      <w:spacing w:line="560" w:lineRule="exact"/>
      <w:ind w:firstLine="640" w:firstLineChars="200"/>
      <w:outlineLvl w:val="0"/>
    </w:pPr>
    <w:rPr>
      <w:rFonts w:ascii="黑体" w:hAnsi="黑体" w:eastAsia="黑体" w:cs="黑体"/>
      <w:sz w:val="32"/>
      <w:szCs w:val="32"/>
    </w:rPr>
  </w:style>
  <w:style w:type="character" w:customStyle="1" w:styleId="28">
    <w:name w:val="标题2（official） Char"/>
    <w:link w:val="21"/>
    <w:qFormat/>
    <w:uiPriority w:val="0"/>
    <w:rPr>
      <w:rFonts w:ascii="楷体" w:hAnsi="楷体" w:eastAsia="楷体" w:cs="楷体"/>
      <w:sz w:val="32"/>
    </w:rPr>
  </w:style>
  <w:style w:type="paragraph" w:customStyle="1" w:styleId="29">
    <w:name w:val="标题3 1."/>
    <w:basedOn w:val="1"/>
    <w:next w:val="23"/>
    <w:qFormat/>
    <w:uiPriority w:val="0"/>
    <w:pPr>
      <w:spacing w:line="560" w:lineRule="exact"/>
      <w:ind w:firstLine="640" w:firstLineChars="200"/>
      <w:outlineLvl w:val="2"/>
    </w:pPr>
    <w:rPr>
      <w:rFonts w:cs="仿宋"/>
      <w:b/>
      <w:szCs w:val="32"/>
    </w:rPr>
  </w:style>
  <w:style w:type="paragraph" w:customStyle="1" w:styleId="30">
    <w:name w:val="标题4 (1)"/>
    <w:basedOn w:val="1"/>
    <w:qFormat/>
    <w:uiPriority w:val="0"/>
    <w:pPr>
      <w:spacing w:line="560" w:lineRule="exact"/>
      <w:ind w:firstLine="640" w:firstLineChars="200"/>
      <w:outlineLvl w:val="3"/>
    </w:pPr>
    <w:rPr>
      <w:rFonts w:ascii="仿宋_GB2312" w:hAnsi="仿宋_GB2312" w:eastAsia="仿宋_GB2312" w:cs="仿宋"/>
      <w:sz w:val="32"/>
      <w:szCs w:val="32"/>
    </w:rPr>
  </w:style>
  <w:style w:type="table" w:customStyle="1" w:styleId="31">
    <w:name w:val="网格型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总标题"/>
    <w:basedOn w:val="1"/>
    <w:link w:val="33"/>
    <w:qFormat/>
    <w:uiPriority w:val="0"/>
    <w:pPr>
      <w:spacing w:line="560" w:lineRule="exact"/>
      <w:jc w:val="center"/>
    </w:pPr>
    <w:rPr>
      <w:rFonts w:hint="eastAsia" w:ascii="微软雅黑" w:hAnsi="微软雅黑" w:eastAsia="方正小标宋_GBK" w:cs="微软雅黑"/>
      <w:sz w:val="44"/>
      <w:szCs w:val="44"/>
    </w:rPr>
  </w:style>
  <w:style w:type="character" w:customStyle="1" w:styleId="33">
    <w:name w:val="总标题 Char"/>
    <w:link w:val="32"/>
    <w:qFormat/>
    <w:uiPriority w:val="0"/>
    <w:rPr>
      <w:rFonts w:hint="eastAsia" w:ascii="微软雅黑" w:hAnsi="微软雅黑" w:eastAsia="方正小标宋_GBK" w:cs="微软雅黑"/>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3204</Words>
  <Characters>3295</Characters>
  <Lines>0</Lines>
  <Paragraphs>0</Paragraphs>
  <TotalTime>27</TotalTime>
  <ScaleCrop>false</ScaleCrop>
  <LinksUpToDate>false</LinksUpToDate>
  <CharactersWithSpaces>3301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ASUS</dc:creator>
  <cp:lastModifiedBy>1</cp:lastModifiedBy>
  <dcterms:modified xsi:type="dcterms:W3CDTF">2026-04-19T11:25:25Z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3D7E8477AE37E2C71FDDE0698C6A0AFC_43</vt:lpwstr>
  </property>
  <property fmtid="{D5CDD505-2E9C-101B-9397-08002B2CF9AE}" pid="4" name="KSOSaveFontToCloudKey">
    <vt:lpwstr>1148138799_cloud</vt:lpwstr>
  </property>
  <property fmtid="{D5CDD505-2E9C-101B-9397-08002B2CF9AE}" pid="5" name="KSOTemplateDocerSaveRecord">
    <vt:lpwstr>eyJoZGlkIjoiMmZjMzE3MTcyMjZiZWE2N2RhM2U2MTZiMmYzMGU0ZjkiLCJ1c2VySWQiOiIxNTI5NDI4ODc3In0=</vt:lpwstr>
  </property>
</Properties>
</file>