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微软雅黑"/>
          <w:sz w:val="36"/>
          <w:szCs w:val="36"/>
          <w:lang w:val="en-US" w:eastAsia="zh-CN"/>
        </w:rPr>
      </w:pPr>
      <w:r>
        <w:rPr>
          <w:rFonts w:hint="eastAsia" w:ascii="黑体" w:hAnsi="黑体" w:eastAsia="黑体" w:cs="微软雅黑"/>
          <w:sz w:val="24"/>
          <w:szCs w:val="24"/>
          <w:lang w:val="en-US" w:eastAsia="zh-CN"/>
        </w:rPr>
        <w:t>附件六</w:t>
      </w:r>
      <w:r>
        <w:rPr>
          <w:rFonts w:hint="eastAsia" w:ascii="黑体" w:hAnsi="黑体" w:eastAsia="黑体" w:cs="微软雅黑"/>
          <w:sz w:val="36"/>
          <w:szCs w:val="36"/>
          <w:lang w:val="en-US" w:eastAsia="zh-CN"/>
        </w:rPr>
        <w:t xml:space="preserve">   </w:t>
      </w:r>
    </w:p>
    <w:p w14:paraId="00C5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Arial"/>
          <w:bCs/>
          <w:color w:val="auto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Arial"/>
          <w:bCs/>
          <w:color w:val="auto"/>
          <w:w w:val="95"/>
          <w:sz w:val="44"/>
          <w:szCs w:val="44"/>
          <w:highlight w:val="none"/>
        </w:rPr>
        <w:t>闽清县闽江创业投资引导基金</w:t>
      </w:r>
      <w:r>
        <w:rPr>
          <w:rFonts w:hint="eastAsia" w:ascii="方正小标宋简体" w:hAnsi="宋体" w:eastAsia="方正小标宋简体" w:cs="Arial"/>
          <w:bCs/>
          <w:color w:val="auto"/>
          <w:w w:val="95"/>
          <w:sz w:val="44"/>
          <w:szCs w:val="44"/>
          <w:highlight w:val="none"/>
        </w:rPr>
        <w:br w:type="textWrapping"/>
      </w:r>
      <w:r>
        <w:rPr>
          <w:rFonts w:hint="eastAsia" w:ascii="方正小标宋简体" w:hAnsi="宋体" w:eastAsia="方正小标宋简体" w:cs="Arial"/>
          <w:bCs/>
          <w:color w:val="auto"/>
          <w:w w:val="95"/>
          <w:sz w:val="44"/>
          <w:szCs w:val="44"/>
          <w:highlight w:val="none"/>
          <w:lang w:val="en-US" w:eastAsia="zh-CN"/>
        </w:rPr>
        <w:t>托管机构申报表</w:t>
      </w:r>
    </w:p>
    <w:tbl>
      <w:tblPr>
        <w:tblStyle w:val="17"/>
        <w:tblpPr w:leftFromText="180" w:rightFromText="180" w:vertAnchor="text" w:horzAnchor="page" w:tblpX="981" w:tblpY="664"/>
        <w:tblOverlap w:val="never"/>
        <w:tblW w:w="93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2154"/>
        <w:gridCol w:w="2415"/>
        <w:gridCol w:w="2290"/>
      </w:tblGrid>
      <w:tr w14:paraId="7C312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519" w:type="dxa"/>
            <w:vAlign w:val="center"/>
          </w:tcPr>
          <w:p w14:paraId="6E9D62CA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参选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银行名称</w:t>
            </w:r>
          </w:p>
        </w:tc>
        <w:tc>
          <w:tcPr>
            <w:tcW w:w="6859" w:type="dxa"/>
            <w:gridSpan w:val="3"/>
            <w:vAlign w:val="center"/>
          </w:tcPr>
          <w:p w14:paraId="605D1FCE">
            <w:pPr>
              <w:pStyle w:val="30"/>
              <w:ind w:firstLine="0" w:firstLineChars="0"/>
              <w:jc w:val="right"/>
              <w:rPr>
                <w:rFonts w:hint="eastAsia" w:ascii="微软雅黑" w:hAnsi="微软雅黑" w:eastAsia="微软雅黑" w:cs="楷体"/>
                <w:snapToGrid/>
                <w:color w:val="auto"/>
                <w:kern w:val="0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 xml:space="preserve">                             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（加盖公章）</w:t>
            </w:r>
          </w:p>
        </w:tc>
      </w:tr>
      <w:tr w14:paraId="5B76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519" w:type="dxa"/>
            <w:vAlign w:val="center"/>
          </w:tcPr>
          <w:p w14:paraId="5AC7ACB3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设立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开户行全称（资金存放银行）</w:t>
            </w:r>
          </w:p>
        </w:tc>
        <w:tc>
          <w:tcPr>
            <w:tcW w:w="6859" w:type="dxa"/>
            <w:gridSpan w:val="3"/>
            <w:vAlign w:val="center"/>
          </w:tcPr>
          <w:p w14:paraId="7C51F9C7">
            <w:pPr>
              <w:pStyle w:val="30"/>
              <w:widowControl w:val="0"/>
              <w:ind w:firstLine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14:paraId="27887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519" w:type="dxa"/>
            <w:vAlign w:val="center"/>
          </w:tcPr>
          <w:p w14:paraId="57975BA6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基金托管资格</w:t>
            </w:r>
          </w:p>
        </w:tc>
        <w:tc>
          <w:tcPr>
            <w:tcW w:w="6859" w:type="dxa"/>
            <w:gridSpan w:val="3"/>
            <w:vAlign w:val="center"/>
          </w:tcPr>
          <w:p w14:paraId="01B45AD8">
            <w:pPr>
              <w:pStyle w:val="30"/>
              <w:widowControl w:val="0"/>
              <w:spacing w:line="240" w:lineRule="auto"/>
              <w:ind w:firstLine="0" w:firstLineChars="0"/>
              <w:jc w:val="right"/>
              <w:rPr>
                <w:rFonts w:hint="eastAsia" w:ascii="微软雅黑" w:hAnsi="微软雅黑" w:eastAsia="微软雅黑" w:cs="楷体"/>
                <w:snapToGrid/>
                <w:color w:val="auto"/>
                <w:kern w:val="0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 xml:space="preserve">                            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（有/无）</w:t>
            </w:r>
          </w:p>
        </w:tc>
      </w:tr>
      <w:tr w14:paraId="176D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519" w:type="dxa"/>
            <w:vAlign w:val="center"/>
          </w:tcPr>
          <w:p w14:paraId="2248CF6D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拟定托管费</w:t>
            </w:r>
          </w:p>
        </w:tc>
        <w:tc>
          <w:tcPr>
            <w:tcW w:w="6859" w:type="dxa"/>
            <w:gridSpan w:val="3"/>
            <w:vAlign w:val="center"/>
          </w:tcPr>
          <w:p w14:paraId="0E7B5983">
            <w:pPr>
              <w:pStyle w:val="30"/>
              <w:widowControl w:val="0"/>
              <w:ind w:firstLine="0" w:firstLineChars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 xml:space="preserve">        %/年</w:t>
            </w:r>
          </w:p>
        </w:tc>
      </w:tr>
      <w:tr w14:paraId="5B35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2519" w:type="dxa"/>
            <w:vAlign w:val="center"/>
          </w:tcPr>
          <w:p w14:paraId="1DDC6825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福建省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私募股权投资基金及创业投资基金托管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规模、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单数</w:t>
            </w:r>
          </w:p>
        </w:tc>
        <w:tc>
          <w:tcPr>
            <w:tcW w:w="6859" w:type="dxa"/>
            <w:gridSpan w:val="3"/>
            <w:vAlign w:val="center"/>
          </w:tcPr>
          <w:p w14:paraId="6E62554E">
            <w:pPr>
              <w:pStyle w:val="30"/>
              <w:widowControl w:val="0"/>
              <w:ind w:firstLine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亿元、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只基金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（至202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>5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年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月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日）</w:t>
            </w:r>
          </w:p>
        </w:tc>
      </w:tr>
      <w:tr w14:paraId="53AB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519" w:type="dxa"/>
            <w:vAlign w:val="center"/>
          </w:tcPr>
          <w:p w14:paraId="1205719F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近三年不良记录</w:t>
            </w:r>
          </w:p>
        </w:tc>
        <w:tc>
          <w:tcPr>
            <w:tcW w:w="2154" w:type="dxa"/>
            <w:vAlign w:val="center"/>
          </w:tcPr>
          <w:p w14:paraId="656CDE2D">
            <w:pPr>
              <w:spacing w:line="520" w:lineRule="exact"/>
              <w:ind w:firstLine="560" w:firstLineChars="0"/>
              <w:jc w:val="center"/>
              <w:rPr>
                <w:rFonts w:hint="eastAsia" w:ascii="微软雅黑" w:hAnsi="微软雅黑" w:eastAsia="微软雅黑" w:cs="楷体"/>
                <w:color w:val="auto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kern w:val="0"/>
                <w:sz w:val="24"/>
                <w:szCs w:val="24"/>
                <w:lang w:eastAsia="zh-CN"/>
                <w14:ligatures w14:val="standardContextual"/>
              </w:rPr>
              <w:t>（有/无）</w:t>
            </w:r>
          </w:p>
        </w:tc>
        <w:tc>
          <w:tcPr>
            <w:tcW w:w="2415" w:type="dxa"/>
            <w:vAlign w:val="center"/>
          </w:tcPr>
          <w:p w14:paraId="2C578E06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服务响应承诺时效</w:t>
            </w:r>
          </w:p>
        </w:tc>
        <w:tc>
          <w:tcPr>
            <w:tcW w:w="2290" w:type="dxa"/>
            <w:vAlign w:val="center"/>
          </w:tcPr>
          <w:p w14:paraId="0E1E36EC">
            <w:pPr>
              <w:pStyle w:val="30"/>
              <w:widowControl w:val="0"/>
              <w:ind w:firstLine="64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小时</w:t>
            </w:r>
          </w:p>
        </w:tc>
      </w:tr>
      <w:tr w14:paraId="300E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519" w:type="dxa"/>
            <w:vAlign w:val="center"/>
          </w:tcPr>
          <w:p w14:paraId="4964FD38">
            <w:pPr>
              <w:pStyle w:val="30"/>
              <w:widowControl w:val="0"/>
              <w:jc w:val="center"/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="微软雅黑" w:hAnsi="微软雅黑" w:eastAsia="微软雅黑" w:cs="楷体"/>
                <w:snapToGrid/>
                <w:color w:val="auto"/>
                <w:sz w:val="24"/>
                <w:szCs w:val="24"/>
                <w:lang w:eastAsia="zh-CN"/>
                <w14:ligatures w14:val="standardContextual"/>
              </w:rPr>
              <w:t>申报优势简述</w:t>
            </w:r>
          </w:p>
        </w:tc>
        <w:tc>
          <w:tcPr>
            <w:tcW w:w="6859" w:type="dxa"/>
            <w:gridSpan w:val="3"/>
            <w:vAlign w:val="center"/>
          </w:tcPr>
          <w:p w14:paraId="3E29860A">
            <w:pPr>
              <w:spacing w:line="5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0"/>
                <w:lang w:val="en-US" w:eastAsia="zh-CN"/>
                <w14:ligatures w14:val="none"/>
              </w:rPr>
              <w:t xml:space="preserve">  </w:t>
            </w:r>
          </w:p>
        </w:tc>
      </w:tr>
    </w:tbl>
    <w:p w14:paraId="69D529D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47DBE"/>
    <w:multiLevelType w:val="multilevel"/>
    <w:tmpl w:val="B2447DBE"/>
    <w:lvl w:ilvl="0" w:tentative="0">
      <w:start w:val="1"/>
      <w:numFmt w:val="chineseCounting"/>
      <w:pStyle w:val="2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 w:ascii="仿宋_GB2312" w:hAnsi="仿宋_GB2312" w:eastAsia="仿宋_GB2312" w:cs="仿宋_GB2312"/>
        <w:sz w:val="18"/>
        <w:szCs w:val="18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46EBCBA7"/>
    <w:multiLevelType w:val="multilevel"/>
    <w:tmpl w:val="46EBCB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宋体" w:hAnsi="宋体" w:cs="宋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 w:ascii="仿宋_GB2312" w:hAnsi="仿宋_GB2312" w:eastAsia="仿宋_GB2312" w:cs="仿宋_GB2312"/>
        <w:sz w:val="18"/>
        <w:szCs w:val="18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A2YjI4YThjMTE5OWRlYTdmMTdiN2UyYWE4MTEifQ=="/>
  </w:docVars>
  <w:rsids>
    <w:rsidRoot w:val="163724C7"/>
    <w:rsid w:val="005E16A6"/>
    <w:rsid w:val="01110A60"/>
    <w:rsid w:val="015522D5"/>
    <w:rsid w:val="01AE030F"/>
    <w:rsid w:val="026003DA"/>
    <w:rsid w:val="02924E2D"/>
    <w:rsid w:val="04001E75"/>
    <w:rsid w:val="04C54AF7"/>
    <w:rsid w:val="05402104"/>
    <w:rsid w:val="0653286D"/>
    <w:rsid w:val="088B6211"/>
    <w:rsid w:val="0D54013C"/>
    <w:rsid w:val="0DB937C0"/>
    <w:rsid w:val="0EB110CC"/>
    <w:rsid w:val="0EDC703A"/>
    <w:rsid w:val="0FB237A0"/>
    <w:rsid w:val="114F3C33"/>
    <w:rsid w:val="12C83D97"/>
    <w:rsid w:val="12F732F9"/>
    <w:rsid w:val="139A342C"/>
    <w:rsid w:val="13BB1914"/>
    <w:rsid w:val="14337FB3"/>
    <w:rsid w:val="163724C7"/>
    <w:rsid w:val="164F2A01"/>
    <w:rsid w:val="17C112A1"/>
    <w:rsid w:val="17FF0AA4"/>
    <w:rsid w:val="18757EE5"/>
    <w:rsid w:val="19495E63"/>
    <w:rsid w:val="19564A63"/>
    <w:rsid w:val="1A574838"/>
    <w:rsid w:val="1AFC1190"/>
    <w:rsid w:val="1B961B24"/>
    <w:rsid w:val="1DAF4B38"/>
    <w:rsid w:val="1EBC3632"/>
    <w:rsid w:val="1F1D16D5"/>
    <w:rsid w:val="1FB40652"/>
    <w:rsid w:val="216D1E84"/>
    <w:rsid w:val="256121AD"/>
    <w:rsid w:val="26536AD1"/>
    <w:rsid w:val="2A3F1F2B"/>
    <w:rsid w:val="2B882D77"/>
    <w:rsid w:val="2C1B6F9C"/>
    <w:rsid w:val="2CAC7197"/>
    <w:rsid w:val="2D8A36D2"/>
    <w:rsid w:val="2E396CE5"/>
    <w:rsid w:val="2F1C3682"/>
    <w:rsid w:val="2FB653A5"/>
    <w:rsid w:val="2FEC4ED7"/>
    <w:rsid w:val="300A7C25"/>
    <w:rsid w:val="304147F0"/>
    <w:rsid w:val="32805AFC"/>
    <w:rsid w:val="33886BB2"/>
    <w:rsid w:val="33CA3782"/>
    <w:rsid w:val="344277BC"/>
    <w:rsid w:val="34754D8E"/>
    <w:rsid w:val="37C56B6C"/>
    <w:rsid w:val="38997BC6"/>
    <w:rsid w:val="390034D4"/>
    <w:rsid w:val="39441F49"/>
    <w:rsid w:val="39FE3DA9"/>
    <w:rsid w:val="3DCF2C73"/>
    <w:rsid w:val="3F163BF4"/>
    <w:rsid w:val="40063D93"/>
    <w:rsid w:val="41770876"/>
    <w:rsid w:val="427F7E2D"/>
    <w:rsid w:val="42E632D9"/>
    <w:rsid w:val="434616B7"/>
    <w:rsid w:val="434D3AEB"/>
    <w:rsid w:val="43FA1BB6"/>
    <w:rsid w:val="44047066"/>
    <w:rsid w:val="46001285"/>
    <w:rsid w:val="46B04A59"/>
    <w:rsid w:val="4A5F6809"/>
    <w:rsid w:val="4B0B3820"/>
    <w:rsid w:val="4CB51020"/>
    <w:rsid w:val="4DBC16DB"/>
    <w:rsid w:val="4E3F346D"/>
    <w:rsid w:val="4E796ACA"/>
    <w:rsid w:val="4EDD4E60"/>
    <w:rsid w:val="50B6393F"/>
    <w:rsid w:val="52686871"/>
    <w:rsid w:val="52F263F9"/>
    <w:rsid w:val="54E579B0"/>
    <w:rsid w:val="55600228"/>
    <w:rsid w:val="56544045"/>
    <w:rsid w:val="56DB7934"/>
    <w:rsid w:val="58682C37"/>
    <w:rsid w:val="588C013C"/>
    <w:rsid w:val="58AA15F1"/>
    <w:rsid w:val="5A1922B1"/>
    <w:rsid w:val="5A923BAF"/>
    <w:rsid w:val="5C8C450D"/>
    <w:rsid w:val="5D0B063B"/>
    <w:rsid w:val="5DA54C20"/>
    <w:rsid w:val="5F9F1AF5"/>
    <w:rsid w:val="5FE95A04"/>
    <w:rsid w:val="60315D5C"/>
    <w:rsid w:val="64FD5008"/>
    <w:rsid w:val="65183A9D"/>
    <w:rsid w:val="658B0298"/>
    <w:rsid w:val="66187E22"/>
    <w:rsid w:val="678A3734"/>
    <w:rsid w:val="68957832"/>
    <w:rsid w:val="68B23D3B"/>
    <w:rsid w:val="698F00A6"/>
    <w:rsid w:val="699A1360"/>
    <w:rsid w:val="699D19AF"/>
    <w:rsid w:val="6ACA155E"/>
    <w:rsid w:val="6C42410E"/>
    <w:rsid w:val="6CC44A01"/>
    <w:rsid w:val="6CD30A81"/>
    <w:rsid w:val="6DFC484C"/>
    <w:rsid w:val="6F2F34E9"/>
    <w:rsid w:val="6F912DCA"/>
    <w:rsid w:val="704743BD"/>
    <w:rsid w:val="709C518A"/>
    <w:rsid w:val="73B10D49"/>
    <w:rsid w:val="74CD42AD"/>
    <w:rsid w:val="76732F37"/>
    <w:rsid w:val="77A91E0E"/>
    <w:rsid w:val="7AC932FE"/>
    <w:rsid w:val="7B0F7299"/>
    <w:rsid w:val="7B5241F0"/>
    <w:rsid w:val="7BE75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楷体"/>
      <w:sz w:val="32"/>
    </w:rPr>
  </w:style>
  <w:style w:type="paragraph" w:styleId="4">
    <w:name w:val="heading 3"/>
    <w:next w:val="1"/>
    <w:link w:val="19"/>
    <w:semiHidden/>
    <w:unhideWhenUsed/>
    <w:qFormat/>
    <w:uiPriority w:val="0"/>
    <w:pPr>
      <w:spacing w:line="560" w:lineRule="exact"/>
      <w:ind w:left="0" w:firstLine="720" w:firstLineChars="200"/>
      <w:jc w:val="left"/>
      <w:outlineLvl w:val="2"/>
    </w:pPr>
    <w:rPr>
      <w:rFonts w:ascii="Arial" w:hAnsi="Arial" w:eastAsia="楷体" w:cs="Arial"/>
      <w:b/>
      <w:bCs/>
      <w:sz w:val="32"/>
      <w:szCs w:val="30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/>
      <w:keepLines/>
      <w:numPr>
        <w:ilvl w:val="3"/>
        <w:numId w:val="1"/>
      </w:numPr>
      <w:spacing w:before="0" w:beforeLines="0" w:beforeAutospacing="0" w:after="0" w:afterLines="0" w:afterAutospacing="0" w:line="560" w:lineRule="exact"/>
      <w:ind w:firstLine="402" w:firstLineChars="0"/>
      <w:outlineLvl w:val="3"/>
    </w:pPr>
    <w:rPr>
      <w:rFonts w:ascii="Arial" w:hAnsi="Arial"/>
      <w:sz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numPr>
        <w:ilvl w:val="4"/>
        <w:numId w:val="1"/>
      </w:numPr>
      <w:spacing w:before="0" w:beforeLines="0" w:beforeAutospacing="0" w:after="0" w:afterLines="0" w:afterAutospacing="0" w:line="560" w:lineRule="exact"/>
      <w:ind w:firstLine="402" w:firstLineChars="0"/>
      <w:outlineLvl w:val="4"/>
    </w:pPr>
    <w:rPr>
      <w:rFonts w:ascii="Calibri" w:hAnsi="Calibri" w:cs="Calibri"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unhideWhenUsed/>
    <w:qFormat/>
    <w:uiPriority w:val="0"/>
    <w:pPr>
      <w:jc w:val="left"/>
    </w:pPr>
  </w:style>
  <w:style w:type="paragraph" w:styleId="13">
    <w:name w:val="Body Text"/>
    <w:basedOn w:val="1"/>
    <w:qFormat/>
    <w:uiPriority w:val="0"/>
    <w:pPr>
      <w:spacing w:line="560" w:lineRule="exact"/>
    </w:pPr>
    <w:rPr>
      <w:rFonts w:ascii="宋体" w:hAnsi="宋体" w:eastAsia="宋体"/>
      <w:kern w:val="2"/>
      <w:sz w:val="28"/>
      <w:lang w:val="en-US" w:eastAsia="zh-CN" w:bidi="ar-SA"/>
    </w:r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toc 2"/>
    <w:basedOn w:val="1"/>
    <w:next w:val="1"/>
    <w:qFormat/>
    <w:uiPriority w:val="0"/>
    <w:pPr>
      <w:ind w:left="0" w:leftChars="0"/>
    </w:pPr>
    <w:rPr>
      <w:rFonts w:eastAsia="宋体"/>
    </w:rPr>
  </w:style>
  <w:style w:type="paragraph" w:styleId="16">
    <w:name w:val="Body Text First Indent 2"/>
    <w:basedOn w:val="14"/>
    <w:qFormat/>
    <w:uiPriority w:val="0"/>
    <w:pPr>
      <w:ind w:firstLine="420" w:firstLineChars="200"/>
    </w:pPr>
  </w:style>
  <w:style w:type="character" w:customStyle="1" w:styleId="19">
    <w:name w:val="标题 3 Char"/>
    <w:link w:val="4"/>
    <w:qFormat/>
    <w:uiPriority w:val="0"/>
    <w:rPr>
      <w:rFonts w:ascii="Arial" w:hAnsi="Arial" w:eastAsia="宋体" w:cs="Arial"/>
      <w:sz w:val="32"/>
    </w:rPr>
  </w:style>
  <w:style w:type="character" w:customStyle="1" w:styleId="20">
    <w:name w:val="标题 4 Char"/>
    <w:link w:val="5"/>
    <w:qFormat/>
    <w:uiPriority w:val="0"/>
    <w:rPr>
      <w:rFonts w:ascii="Arial" w:hAnsi="Arial" w:eastAsia="宋体"/>
      <w:sz w:val="28"/>
    </w:rPr>
  </w:style>
  <w:style w:type="character" w:customStyle="1" w:styleId="21">
    <w:name w:val="标题 5 Char"/>
    <w:link w:val="6"/>
    <w:qFormat/>
    <w:uiPriority w:val="0"/>
    <w:rPr>
      <w:rFonts w:ascii="Calibri" w:hAnsi="Calibri" w:eastAsia="仿宋_GB2312" w:cs="Calibri"/>
      <w:sz w:val="28"/>
    </w:rPr>
  </w:style>
  <w:style w:type="paragraph" w:customStyle="1" w:styleId="22">
    <w:name w:val="正文（official ）"/>
    <w:basedOn w:val="1"/>
    <w:qFormat/>
    <w:uiPriority w:val="0"/>
    <w:pPr>
      <w:spacing w:line="360" w:lineRule="auto"/>
      <w:ind w:firstLine="880" w:firstLineChars="200"/>
    </w:pPr>
    <w:rPr>
      <w:rFonts w:ascii="仿宋" w:hAnsi="仿宋"/>
      <w:sz w:val="28"/>
    </w:rPr>
  </w:style>
  <w:style w:type="paragraph" w:customStyle="1" w:styleId="23">
    <w:name w:val="标题2（一）"/>
    <w:basedOn w:val="3"/>
    <w:next w:val="1"/>
    <w:qFormat/>
    <w:uiPriority w:val="0"/>
    <w:pPr>
      <w:numPr>
        <w:ilvl w:val="0"/>
        <w:numId w:val="2"/>
      </w:numPr>
      <w:spacing w:line="560" w:lineRule="exact"/>
      <w:ind w:firstLine="641" w:firstLineChars="200"/>
    </w:pPr>
    <w:rPr>
      <w:rFonts w:ascii="楷体" w:hAnsi="楷体" w:cs="楷体"/>
      <w:sz w:val="24"/>
    </w:rPr>
  </w:style>
  <w:style w:type="character" w:customStyle="1" w:styleId="24">
    <w:name w:val="标题 2 字符"/>
    <w:link w:val="3"/>
    <w:qFormat/>
    <w:uiPriority w:val="0"/>
    <w:rPr>
      <w:rFonts w:ascii="Arial" w:hAnsi="Arial" w:eastAsia="楷体"/>
      <w:sz w:val="32"/>
    </w:rPr>
  </w:style>
  <w:style w:type="character" w:customStyle="1" w:styleId="25">
    <w:name w:val="标题 1 字符"/>
    <w:basedOn w:val="18"/>
    <w:link w:val="2"/>
    <w:qFormat/>
    <w:uiPriority w:val="9"/>
    <w:rPr>
      <w:rFonts w:ascii="Times New Roman" w:hAnsi="Times New Roman" w:eastAsia="黑体" w:cs="Arial"/>
      <w:bCs/>
      <w:kern w:val="44"/>
      <w:sz w:val="32"/>
      <w:szCs w:val="32"/>
      <w:lang w:val="en-US" w:eastAsia="zh-CN" w:bidi="ar-SA"/>
    </w:rPr>
  </w:style>
  <w:style w:type="paragraph" w:customStyle="1" w:styleId="26">
    <w:name w:val="正文（正）"/>
    <w:basedOn w:val="1"/>
    <w:link w:val="27"/>
    <w:qFormat/>
    <w:uiPriority w:val="0"/>
    <w:pPr>
      <w:wordWrap/>
      <w:overflowPunct/>
      <w:spacing w:line="560" w:lineRule="exact"/>
      <w:ind w:firstLine="880" w:firstLineChars="200"/>
    </w:pPr>
    <w:rPr>
      <w:rFonts w:ascii="仿宋" w:hAnsi="仿宋" w:eastAsia="仿宋_GB2312"/>
      <w:kern w:val="2"/>
      <w:sz w:val="32"/>
      <w:lang w:val="en-US" w:eastAsia="zh-CN" w:bidi="ar-SA"/>
    </w:rPr>
  </w:style>
  <w:style w:type="character" w:customStyle="1" w:styleId="27">
    <w:name w:val="正文（official ） Char"/>
    <w:link w:val="26"/>
    <w:qFormat/>
    <w:uiPriority w:val="0"/>
    <w:rPr>
      <w:rFonts w:ascii="仿宋" w:hAnsi="仿宋" w:eastAsia="仿宋_GB2312"/>
      <w:kern w:val="2"/>
      <w:sz w:val="32"/>
      <w:lang w:val="en-US" w:eastAsia="zh-CN" w:bidi="ar-SA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spacing w:line="400" w:lineRule="exact"/>
      <w:jc w:val="center"/>
    </w:pPr>
    <w:rPr>
      <w:rFonts w:ascii="仿宋_GB2312" w:hAnsi="仿宋_GB2312" w:eastAsia="仿宋_GB2312" w:cs="楷体"/>
      <w:kern w:val="0"/>
      <w:sz w:val="24"/>
      <w:szCs w:val="22"/>
      <w14:ligatures w14:val="standardContextual"/>
    </w:rPr>
  </w:style>
  <w:style w:type="paragraph" w:customStyle="1" w:styleId="3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17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2025-07-15T08:45:00Z</dcterms:created>
  <dc:creator>刘妍慧</dc:creator>
  <cp:lastModifiedBy>刘妍慧</cp:lastModifiedBy>
  <dcterms:modified xsi:type="dcterms:W3CDTF">2025-09-29T08:52:57Z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9D84DFB021754318ABB984D051800948_13</vt:lpwstr>
  </property>
  <property fmtid="{D5CDD505-2E9C-101B-9397-08002B2CF9AE}" pid="4" name="KSOTemplateDocerSaveRecord">
    <vt:lpwstr>eyJoZGlkIjoiMjQ4OWRkZTI5YTMzZGNiMDBiZGIyYzdjMzc1Y2ZkNGMiLCJ1c2VySWQiOiIxNTUxNTAwNDIzIn0=</vt:lpwstr>
  </property>
</Properties>
</file>