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微软雅黑"/>
          <w:sz w:val="36"/>
          <w:szCs w:val="36"/>
          <w:lang w:val="en-US" w:eastAsia="zh-CN"/>
        </w:rPr>
      </w:pPr>
      <w:r>
        <w:rPr>
          <w:rFonts w:hint="eastAsia" w:ascii="黑体" w:hAnsi="黑体" w:eastAsia="黑体" w:cs="微软雅黑"/>
          <w:sz w:val="24"/>
          <w:szCs w:val="24"/>
          <w:lang w:val="en-US" w:eastAsia="zh-CN"/>
        </w:rPr>
        <w:t>附件一</w:t>
      </w:r>
      <w:r>
        <w:rPr>
          <w:rFonts w:hint="eastAsia" w:ascii="黑体" w:hAnsi="黑体" w:eastAsia="黑体" w:cs="微软雅黑"/>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微软雅黑"/>
          <w:sz w:val="36"/>
          <w:szCs w:val="36"/>
        </w:rPr>
      </w:pPr>
      <w:r>
        <w:rPr>
          <w:rFonts w:hint="eastAsia" w:ascii="黑体" w:hAnsi="黑体" w:eastAsia="黑体" w:cs="微软雅黑"/>
          <w:sz w:val="36"/>
          <w:szCs w:val="36"/>
        </w:rPr>
        <w:t>闽清县闽江创业投资引导基金</w:t>
      </w:r>
    </w:p>
    <w:p>
      <w:pPr>
        <w:spacing w:line="480" w:lineRule="exact"/>
        <w:jc w:val="center"/>
        <w:rPr>
          <w:rFonts w:hint="eastAsia" w:ascii="微软雅黑" w:hAnsi="微软雅黑" w:eastAsia="微软雅黑"/>
          <w:sz w:val="24"/>
          <w:szCs w:val="24"/>
        </w:rPr>
      </w:pPr>
      <w:r>
        <w:rPr>
          <w:rFonts w:hint="eastAsia" w:ascii="黑体" w:hAnsi="黑体" w:eastAsia="黑体" w:cs="微软雅黑"/>
          <w:sz w:val="36"/>
          <w:szCs w:val="36"/>
        </w:rPr>
        <w:t>管理机构资质合规自评表</w:t>
      </w:r>
    </w:p>
    <w:p>
      <w:pPr>
        <w:pStyle w:val="27"/>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微软雅黑" w:hAnsi="微软雅黑" w:eastAsia="微软雅黑"/>
          <w:sz w:val="24"/>
          <w:szCs w:val="24"/>
        </w:rPr>
      </w:pPr>
      <w:r>
        <w:rPr>
          <w:rFonts w:hint="eastAsia" w:ascii="微软雅黑" w:hAnsi="微软雅黑" w:eastAsia="微软雅黑"/>
          <w:sz w:val="24"/>
          <w:szCs w:val="24"/>
        </w:rPr>
        <w:t>拟申报机构名称：</w:t>
      </w:r>
    </w:p>
    <w:p>
      <w:pPr>
        <w:pStyle w:val="27"/>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微软雅黑" w:hAnsi="微软雅黑" w:eastAsia="微软雅黑"/>
          <w:sz w:val="24"/>
          <w:szCs w:val="24"/>
        </w:rPr>
      </w:pPr>
      <w:r>
        <w:rPr>
          <w:rFonts w:hint="eastAsia" w:ascii="微软雅黑" w:hAnsi="微软雅黑" w:eastAsia="微软雅黑"/>
          <w:sz w:val="24"/>
          <w:szCs w:val="24"/>
        </w:rPr>
        <w:t>一、申报机构要求</w:t>
      </w:r>
    </w:p>
    <w:tbl>
      <w:tblPr>
        <w:tblStyle w:val="16"/>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4702"/>
        <w:gridCol w:w="1177"/>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blHeader/>
          <w:jc w:val="center"/>
        </w:trPr>
        <w:tc>
          <w:tcPr>
            <w:tcW w:w="3545" w:type="pct"/>
            <w:gridSpan w:val="2"/>
            <w:shd w:val="clear" w:color="auto" w:fill="auto"/>
            <w:vAlign w:val="center"/>
          </w:tcPr>
          <w:p>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b/>
                <w:bCs/>
                <w:color w:val="auto"/>
                <w:szCs w:val="24"/>
              </w:rPr>
            </w:pPr>
            <w:r>
              <w:rPr>
                <w:rFonts w:hint="eastAsia" w:ascii="微软雅黑" w:hAnsi="微软雅黑" w:eastAsia="微软雅黑"/>
                <w:b/>
                <w:bCs/>
                <w:color w:val="auto"/>
                <w:szCs w:val="24"/>
              </w:rPr>
              <w:t>项目</w:t>
            </w:r>
          </w:p>
        </w:tc>
        <w:tc>
          <w:tcPr>
            <w:tcW w:w="673" w:type="pct"/>
            <w:shd w:val="clear" w:color="auto" w:fill="auto"/>
            <w:vAlign w:val="center"/>
          </w:tcPr>
          <w:p>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b/>
                <w:bCs/>
                <w:color w:val="auto"/>
                <w:szCs w:val="24"/>
              </w:rPr>
            </w:pPr>
            <w:r>
              <w:rPr>
                <w:rFonts w:hint="eastAsia" w:ascii="微软雅黑" w:hAnsi="微软雅黑" w:eastAsia="微软雅黑"/>
                <w:b/>
                <w:bCs/>
                <w:color w:val="auto"/>
                <w:szCs w:val="24"/>
              </w:rPr>
              <w:t>是否符合</w:t>
            </w:r>
          </w:p>
        </w:tc>
        <w:tc>
          <w:tcPr>
            <w:tcW w:w="781" w:type="pct"/>
            <w:shd w:val="clear" w:color="auto" w:fill="auto"/>
            <w:vAlign w:val="center"/>
          </w:tcPr>
          <w:p>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b/>
                <w:bCs/>
                <w:color w:val="auto"/>
                <w:szCs w:val="24"/>
              </w:rPr>
            </w:pPr>
            <w:r>
              <w:rPr>
                <w:rFonts w:hint="eastAsia" w:ascii="微软雅黑" w:hAnsi="微软雅黑" w:eastAsia="微软雅黑"/>
                <w:b/>
                <w:bCs/>
                <w:color w:val="auto"/>
                <w:szCs w:val="24"/>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57" w:type="pct"/>
            <w:vMerge w:val="restar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b/>
                <w:bCs/>
                <w:color w:val="auto"/>
                <w:szCs w:val="24"/>
              </w:rPr>
            </w:pPr>
            <w:r>
              <w:rPr>
                <w:rFonts w:hint="eastAsia" w:ascii="微软雅黑" w:hAnsi="微软雅黑" w:eastAsia="微软雅黑"/>
                <w:b/>
                <w:bCs/>
                <w:color w:val="auto"/>
                <w:szCs w:val="24"/>
              </w:rPr>
              <w:t>基金管理人基本资质</w:t>
            </w:r>
          </w:p>
        </w:tc>
        <w:tc>
          <w:tcPr>
            <w:tcW w:w="2688"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olor w:val="auto"/>
                <w:szCs w:val="24"/>
              </w:rPr>
            </w:pPr>
            <w:r>
              <w:rPr>
                <w:rFonts w:hint="eastAsia" w:ascii="微软雅黑" w:hAnsi="微软雅黑" w:eastAsia="微软雅黑"/>
                <w:color w:val="auto"/>
                <w:szCs w:val="24"/>
              </w:rPr>
              <w:t>1. 在中国证券投资基金业协会完成登记</w:t>
            </w:r>
            <w:r>
              <w:rPr>
                <w:rFonts w:hint="eastAsia" w:ascii="微软雅黑" w:hAnsi="微软雅黑" w:eastAsia="微软雅黑"/>
                <w:color w:val="auto"/>
                <w:szCs w:val="24"/>
                <w:lang w:val="en-US" w:eastAsia="zh-CN"/>
              </w:rPr>
              <w:t>备案满3年以上</w:t>
            </w:r>
            <w:r>
              <w:rPr>
                <w:rFonts w:hint="eastAsia" w:ascii="微软雅黑" w:hAnsi="微软雅黑" w:eastAsia="微软雅黑"/>
                <w:color w:val="auto"/>
                <w:szCs w:val="24"/>
              </w:rPr>
              <w:t>，且具备基金备案条件。</w:t>
            </w:r>
          </w:p>
        </w:tc>
        <w:tc>
          <w:tcPr>
            <w:tcW w:w="673"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
          </w:p>
        </w:tc>
        <w:tc>
          <w:tcPr>
            <w:tcW w:w="781"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857" w:type="pct"/>
            <w:vMerge w:val="continue"/>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0"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2688"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olor w:val="auto"/>
                <w:szCs w:val="24"/>
              </w:rPr>
              <w:pPrChange w:id="1"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pPr>
              </w:pPrChange>
            </w:pPr>
            <w:r>
              <w:rPr>
                <w:rFonts w:hint="eastAsia" w:ascii="微软雅黑" w:hAnsi="微软雅黑" w:eastAsia="微软雅黑"/>
                <w:color w:val="auto"/>
                <w:szCs w:val="24"/>
              </w:rPr>
              <w:t>2. 管理团队至少有3个及以上的股权投资的成功</w:t>
            </w:r>
            <w:r>
              <w:rPr>
                <w:rFonts w:hint="eastAsia" w:ascii="微软雅黑" w:hAnsi="微软雅黑" w:eastAsia="微软雅黑"/>
                <w:color w:val="auto"/>
                <w:szCs w:val="24"/>
                <w:lang w:eastAsia="zh-CN"/>
              </w:rPr>
              <w:t>（</w:t>
            </w:r>
            <w:r>
              <w:rPr>
                <w:rFonts w:hint="eastAsia" w:ascii="微软雅黑" w:hAnsi="微软雅黑" w:eastAsia="微软雅黑"/>
                <w:color w:val="auto"/>
                <w:szCs w:val="24"/>
                <w:lang w:val="en-US" w:eastAsia="zh-CN"/>
              </w:rPr>
              <w:t>含投出</w:t>
            </w:r>
            <w:r>
              <w:rPr>
                <w:rFonts w:hint="eastAsia" w:ascii="微软雅黑" w:hAnsi="微软雅黑" w:eastAsia="微软雅黑"/>
                <w:color w:val="auto"/>
                <w:szCs w:val="24"/>
                <w:lang w:eastAsia="zh-CN"/>
              </w:rPr>
              <w:t>）</w:t>
            </w:r>
            <w:r>
              <w:rPr>
                <w:rFonts w:hint="eastAsia" w:ascii="微软雅黑" w:hAnsi="微软雅黑" w:eastAsia="微软雅黑"/>
                <w:color w:val="auto"/>
                <w:szCs w:val="24"/>
              </w:rPr>
              <w:t>案例（A股上市的成功案例不得少于1个）。</w:t>
            </w:r>
          </w:p>
        </w:tc>
        <w:tc>
          <w:tcPr>
            <w:tcW w:w="673"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2"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781"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3"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857" w:type="pct"/>
            <w:vMerge w:val="continue"/>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4"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2688"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olor w:val="auto"/>
                <w:szCs w:val="24"/>
              </w:rPr>
              <w:pPrChange w:id="5"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pPr>
              </w:pPrChange>
            </w:pPr>
            <w:r>
              <w:rPr>
                <w:rFonts w:hint="eastAsia" w:ascii="微软雅黑" w:hAnsi="微软雅黑" w:eastAsia="微软雅黑"/>
                <w:color w:val="auto"/>
                <w:szCs w:val="24"/>
              </w:rPr>
              <w:t>3. 管理人或管理团队拥有不少于5名专业投资人员，其中具有3年以上股权投资或股权投资基金管理工作</w:t>
            </w:r>
            <w:bookmarkStart w:id="0" w:name="_GoBack"/>
            <w:bookmarkEnd w:id="0"/>
            <w:r>
              <w:rPr>
                <w:rFonts w:hint="eastAsia" w:ascii="微软雅黑" w:hAnsi="微软雅黑" w:eastAsia="微软雅黑"/>
                <w:color w:val="auto"/>
                <w:szCs w:val="24"/>
              </w:rPr>
              <w:t>经验的高级管理人员不少于3名。</w:t>
            </w:r>
          </w:p>
        </w:tc>
        <w:tc>
          <w:tcPr>
            <w:tcW w:w="673"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6"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781"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7"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857" w:type="pct"/>
            <w:vMerge w:val="continue"/>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8"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2688"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olor w:val="auto"/>
                <w:szCs w:val="24"/>
                <w:lang w:eastAsia="zh-CN"/>
              </w:rPr>
              <w:pPrChange w:id="9"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pPr>
              </w:pPrChange>
            </w:pPr>
            <w:r>
              <w:rPr>
                <w:rFonts w:hint="eastAsia" w:ascii="微软雅黑" w:hAnsi="微软雅黑" w:eastAsia="微软雅黑"/>
                <w:color w:val="auto"/>
                <w:szCs w:val="24"/>
                <w:lang w:val="en-US" w:eastAsia="zh-CN"/>
              </w:rPr>
              <w:t>4</w:t>
            </w:r>
            <w:r>
              <w:rPr>
                <w:rFonts w:hint="eastAsia" w:ascii="微软雅黑" w:hAnsi="微软雅黑" w:eastAsia="微软雅黑"/>
                <w:color w:val="auto"/>
                <w:szCs w:val="24"/>
              </w:rPr>
              <w:t>. 拥有良好的商业信誉。管理人及管理团队近3年内均未发生重大违法违规行为，不存在受到行业主管部门、监管机构、行业自律组织的重大处罚等问题。</w:t>
            </w:r>
          </w:p>
        </w:tc>
        <w:tc>
          <w:tcPr>
            <w:tcW w:w="673"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10"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781"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11"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57" w:type="pct"/>
            <w:vMerge w:val="continue"/>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12"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2688"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olor w:val="auto"/>
                <w:szCs w:val="24"/>
              </w:rPr>
              <w:pPrChange w:id="13"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pPr>
              </w:pPrChange>
            </w:pPr>
            <w:r>
              <w:rPr>
                <w:rFonts w:hint="eastAsia" w:ascii="微软雅黑" w:hAnsi="微软雅黑" w:eastAsia="微软雅黑"/>
                <w:color w:val="auto"/>
                <w:szCs w:val="24"/>
                <w:lang w:val="en-US" w:eastAsia="zh-CN"/>
              </w:rPr>
              <w:t>5</w:t>
            </w:r>
            <w:r>
              <w:rPr>
                <w:rFonts w:hint="eastAsia" w:ascii="微软雅黑" w:hAnsi="微软雅黑" w:eastAsia="微软雅黑"/>
                <w:color w:val="auto"/>
                <w:szCs w:val="24"/>
              </w:rPr>
              <w:t>. 具有有效的约束激励机制，确保管理团队对其管理的股权基金勤勉尽责。</w:t>
            </w:r>
          </w:p>
        </w:tc>
        <w:tc>
          <w:tcPr>
            <w:tcW w:w="673"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14"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781"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15"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57" w:type="pct"/>
            <w:vMerge w:val="continue"/>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16"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2688"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olor w:val="auto"/>
                <w:szCs w:val="24"/>
              </w:rPr>
              <w:pPrChange w:id="17"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pPr>
              </w:pPrChange>
            </w:pPr>
            <w:r>
              <w:rPr>
                <w:rFonts w:hint="eastAsia" w:ascii="微软雅黑" w:hAnsi="微软雅黑" w:eastAsia="微软雅黑"/>
                <w:color w:val="auto"/>
                <w:szCs w:val="24"/>
                <w:lang w:val="en-US" w:eastAsia="zh-CN"/>
              </w:rPr>
              <w:t>6</w:t>
            </w:r>
            <w:r>
              <w:rPr>
                <w:rFonts w:hint="eastAsia" w:ascii="微软雅黑" w:hAnsi="微软雅黑" w:eastAsia="微软雅黑"/>
                <w:color w:val="auto"/>
                <w:szCs w:val="24"/>
              </w:rPr>
              <w:t>. 具有明确、合理的可避免及规范不同基金间利益冲突的机制。</w:t>
            </w:r>
          </w:p>
        </w:tc>
        <w:tc>
          <w:tcPr>
            <w:tcW w:w="673"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18"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781"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19"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57" w:type="pct"/>
            <w:vMerge w:val="continue"/>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20"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2688"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olor w:val="auto"/>
                <w:szCs w:val="24"/>
              </w:rPr>
              <w:pPrChange w:id="21"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pPr>
              </w:pPrChange>
            </w:pPr>
            <w:r>
              <w:rPr>
                <w:rFonts w:hint="eastAsia" w:ascii="微软雅黑" w:hAnsi="微软雅黑" w:eastAsia="微软雅黑"/>
                <w:color w:val="auto"/>
                <w:szCs w:val="24"/>
                <w:lang w:val="en-US" w:eastAsia="zh-CN"/>
              </w:rPr>
              <w:t>7</w:t>
            </w:r>
            <w:r>
              <w:rPr>
                <w:rFonts w:hint="eastAsia" w:ascii="微软雅黑" w:hAnsi="微软雅黑" w:eastAsia="微软雅黑"/>
                <w:color w:val="auto"/>
                <w:szCs w:val="24"/>
              </w:rPr>
              <w:t>. 具有完善的内部控制、投资决策、投资管理、风险控制、财务管理、项目遴选和投后管理机制</w:t>
            </w:r>
            <w:r>
              <w:rPr>
                <w:rFonts w:hint="eastAsia" w:ascii="微软雅黑" w:hAnsi="微软雅黑" w:eastAsia="微软雅黑"/>
                <w:color w:val="auto"/>
                <w:szCs w:val="24"/>
                <w:lang w:eastAsia="zh-CN"/>
              </w:rPr>
              <w:t>。</w:t>
            </w:r>
          </w:p>
        </w:tc>
        <w:tc>
          <w:tcPr>
            <w:tcW w:w="673"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22"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781"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23"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57" w:type="pct"/>
            <w:vMerge w:val="continue"/>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24"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2688"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olor w:val="auto"/>
                <w:szCs w:val="24"/>
              </w:rPr>
              <w:pPrChange w:id="25"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pPr>
              </w:pPrChange>
            </w:pPr>
            <w:r>
              <w:rPr>
                <w:rFonts w:hint="eastAsia" w:ascii="微软雅黑" w:hAnsi="微软雅黑" w:eastAsia="微软雅黑"/>
                <w:color w:val="auto"/>
                <w:szCs w:val="24"/>
                <w:lang w:val="en-US" w:eastAsia="zh-CN"/>
              </w:rPr>
              <w:t>8</w:t>
            </w:r>
            <w:r>
              <w:rPr>
                <w:rFonts w:hint="eastAsia" w:ascii="微软雅黑" w:hAnsi="微软雅黑" w:eastAsia="微软雅黑"/>
                <w:color w:val="auto"/>
                <w:szCs w:val="24"/>
              </w:rPr>
              <w:t xml:space="preserve">. </w:t>
            </w:r>
            <w:r>
              <w:rPr>
                <w:rFonts w:hint="eastAsia" w:ascii="微软雅黑" w:hAnsi="微软雅黑" w:eastAsia="微软雅黑"/>
                <w:color w:val="auto"/>
                <w:szCs w:val="24"/>
                <w:lang w:val="en-US" w:eastAsia="zh-CN"/>
              </w:rPr>
              <w:t>有符合要求的营业场所、安全防范设施和与基金管理业务有关的其他设施。</w:t>
            </w:r>
          </w:p>
        </w:tc>
        <w:tc>
          <w:tcPr>
            <w:tcW w:w="673"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26"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781"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27"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57" w:type="pct"/>
            <w:vMerge w:val="continue"/>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28"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2688"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微软雅黑" w:hAnsi="微软雅黑" w:eastAsia="微软雅黑"/>
                <w:color w:val="auto"/>
                <w:szCs w:val="24"/>
                <w:lang w:val="en-US" w:eastAsia="zh-CN"/>
              </w:rPr>
              <w:pPrChange w:id="29"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pPr>
              </w:pPrChange>
            </w:pPr>
            <w:r>
              <w:rPr>
                <w:rFonts w:hint="eastAsia" w:ascii="微软雅黑" w:hAnsi="微软雅黑" w:eastAsia="微软雅黑"/>
                <w:color w:val="auto"/>
                <w:szCs w:val="24"/>
                <w:lang w:val="en-US" w:eastAsia="zh-CN"/>
              </w:rPr>
              <w:t>9.法律法规规定的其他条件和基金发起人认为应当具备的其他条件。</w:t>
            </w:r>
          </w:p>
        </w:tc>
        <w:tc>
          <w:tcPr>
            <w:tcW w:w="673"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30"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c>
          <w:tcPr>
            <w:tcW w:w="781"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Change w:id="31" w:author="卢泓凯" w:date="2025-10-17T17:45:00Z">
                <w:pPr>
                  <w:pStyle w:val="28"/>
                  <w:keepNext w:val="0"/>
                  <w:keepLines w:val="0"/>
                  <w:pageBreakBefore w:val="0"/>
                  <w:widowControl w:val="0"/>
                  <w:kinsoku/>
                  <w:wordWrap/>
                  <w:overflowPunct/>
                  <w:topLinePunct w:val="0"/>
                  <w:autoSpaceDE w:val="0"/>
                  <w:autoSpaceDN w:val="0"/>
                  <w:bidi w:val="0"/>
                  <w:adjustRightInd/>
                  <w:snapToGrid/>
                  <w:spacing w:line="360" w:lineRule="exact"/>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57"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微软雅黑" w:hAnsi="微软雅黑" w:eastAsia="微软雅黑"/>
                <w:b/>
                <w:bCs/>
                <w:color w:val="auto"/>
                <w:szCs w:val="24"/>
                <w:lang w:val="en-US" w:eastAsia="zh-CN"/>
              </w:rPr>
            </w:pPr>
            <w:r>
              <w:rPr>
                <w:rFonts w:hint="eastAsia" w:ascii="微软雅黑" w:hAnsi="微软雅黑" w:eastAsia="微软雅黑"/>
                <w:b/>
                <w:bCs/>
                <w:color w:val="auto"/>
                <w:szCs w:val="24"/>
                <w:lang w:val="en-US" w:eastAsia="zh-CN"/>
              </w:rPr>
              <w:t>返投要求</w:t>
            </w:r>
          </w:p>
        </w:tc>
        <w:tc>
          <w:tcPr>
            <w:tcW w:w="2688"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微软雅黑" w:hAnsi="微软雅黑" w:eastAsia="微软雅黑"/>
                <w:color w:val="auto"/>
                <w:szCs w:val="24"/>
                <w:lang w:val="en-US" w:eastAsia="zh-CN"/>
              </w:rPr>
            </w:pPr>
            <w:r>
              <w:rPr>
                <w:rFonts w:hint="eastAsia" w:ascii="微软雅黑" w:hAnsi="微软雅黑" w:eastAsia="微软雅黑"/>
                <w:color w:val="auto"/>
                <w:szCs w:val="24"/>
              </w:rPr>
              <w:t>在3年的投资期内，同一基金管理人管理的闽江创投基金对闽清县累计地方投引贡献金额不得低于闽清县产业投资有限公司实际投资金额的2倍，即累计基金返投比例不得低于2倍</w:t>
            </w:r>
            <w:r>
              <w:rPr>
                <w:rFonts w:hint="eastAsia" w:ascii="微软雅黑" w:hAnsi="微软雅黑" w:eastAsia="微软雅黑"/>
                <w:color w:val="auto"/>
                <w:szCs w:val="24"/>
                <w:lang w:eastAsia="zh-CN"/>
              </w:rPr>
              <w:t>。</w:t>
            </w:r>
          </w:p>
        </w:tc>
        <w:tc>
          <w:tcPr>
            <w:tcW w:w="673"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
          </w:p>
        </w:tc>
        <w:tc>
          <w:tcPr>
            <w:tcW w:w="781" w:type="pct"/>
            <w:shd w:val="clear" w:color="auto" w:fill="auto"/>
            <w:vAlign w:val="center"/>
          </w:tcPr>
          <w:p>
            <w:pPr>
              <w:pStyle w:val="28"/>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olor w:val="auto"/>
                <w:szCs w:val="24"/>
              </w:rPr>
            </w:pPr>
          </w:p>
        </w:tc>
      </w:tr>
    </w:tbl>
    <w:p>
      <w:pPr>
        <w:pStyle w:val="11"/>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ascii="微软雅黑" w:hAnsi="微软雅黑" w:eastAsia="微软雅黑"/>
          <w:sz w:val="24"/>
        </w:rPr>
        <w:t>注：申报机构应开展合规性自评，并在是否符合一栏填写“√”或“х”，需要进一步说明的事项请填写在情况说明栏内。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47DBE"/>
    <w:multiLevelType w:val="multilevel"/>
    <w:tmpl w:val="B2447DBE"/>
    <w:lvl w:ilvl="0" w:tentative="0">
      <w:start w:val="1"/>
      <w:numFmt w:val="chineseCounting"/>
      <w:pStyle w:val="22"/>
      <w:suff w:val="nothing"/>
      <w:lvlText w:val="%1、"/>
      <w:lvlJc w:val="left"/>
      <w:pPr>
        <w:ind w:left="0" w:firstLine="0"/>
      </w:pPr>
      <w:rPr>
        <w:rFonts w:hint="eastAsia"/>
      </w:rPr>
    </w:lvl>
    <w:lvl w:ilvl="1" w:tentative="0">
      <w:start w:val="1"/>
      <w:numFmt w:val="chineseCounting"/>
      <w:suff w:val="nothing"/>
      <w:lvlText w:val="（%2）"/>
      <w:lvlJc w:val="left"/>
      <w:pPr>
        <w:ind w:left="320" w:firstLine="0"/>
      </w:pPr>
      <w:rPr>
        <w:rFonts w:hint="eastAsia"/>
      </w:rPr>
    </w:lvl>
    <w:lvl w:ilvl="2" w:tentative="0">
      <w:start w:val="1"/>
      <w:numFmt w:val="decimal"/>
      <w:suff w:val="nothing"/>
      <w:lvlText w:val="%3．"/>
      <w:lvlJc w:val="left"/>
      <w:pPr>
        <w:ind w:left="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ascii="宋体" w:hAnsi="宋体" w:cs="宋体"/>
      </w:rPr>
    </w:lvl>
    <w:lvl w:ilvl="4" w:tentative="0">
      <w:start w:val="1"/>
      <w:numFmt w:val="decimalEnclosedCircleChinese"/>
      <w:suff w:val="nothing"/>
      <w:lvlText w:val="%5"/>
      <w:lvlJc w:val="left"/>
      <w:pPr>
        <w:ind w:left="0" w:firstLine="402"/>
      </w:pPr>
      <w:rPr>
        <w:rFonts w:hint="eastAsia" w:ascii="仿宋_GB2312" w:hAnsi="仿宋_GB2312" w:eastAsia="仿宋_GB2312" w:cs="仿宋_GB2312"/>
        <w:sz w:val="18"/>
        <w:szCs w:val="18"/>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6EBCBA7"/>
    <w:multiLevelType w:val="multilevel"/>
    <w:tmpl w:val="46EBCBA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320" w:firstLine="0"/>
      </w:pPr>
      <w:rPr>
        <w:rFonts w:hint="eastAsia"/>
      </w:rPr>
    </w:lvl>
    <w:lvl w:ilvl="2" w:tentative="0">
      <w:start w:val="1"/>
      <w:numFmt w:val="decimal"/>
      <w:suff w:val="nothing"/>
      <w:lvlText w:val="%3．"/>
      <w:lvlJc w:val="left"/>
      <w:pPr>
        <w:ind w:left="0" w:firstLine="400"/>
      </w:pPr>
      <w:rPr>
        <w:rFonts w:hint="eastAsia" w:ascii="宋体" w:hAnsi="宋体" w:eastAsia="宋体" w:cs="宋体"/>
      </w:rPr>
    </w:lvl>
    <w:lvl w:ilvl="3" w:tentative="0">
      <w:start w:val="1"/>
      <w:numFmt w:val="decimal"/>
      <w:pStyle w:val="5"/>
      <w:suff w:val="nothing"/>
      <w:lvlText w:val="（%4）"/>
      <w:lvlJc w:val="left"/>
      <w:pPr>
        <w:ind w:left="0" w:firstLine="402"/>
      </w:pPr>
      <w:rPr>
        <w:rFonts w:hint="eastAsia" w:ascii="宋体" w:hAnsi="宋体" w:cs="宋体"/>
      </w:rPr>
    </w:lvl>
    <w:lvl w:ilvl="4" w:tentative="0">
      <w:start w:val="1"/>
      <w:numFmt w:val="decimalEnclosedCircleChinese"/>
      <w:pStyle w:val="6"/>
      <w:suff w:val="nothing"/>
      <w:lvlText w:val="%5"/>
      <w:lvlJc w:val="left"/>
      <w:pPr>
        <w:ind w:left="0" w:firstLine="402"/>
      </w:pPr>
      <w:rPr>
        <w:rFonts w:hint="eastAsia" w:ascii="仿宋_GB2312" w:hAnsi="仿宋_GB2312" w:eastAsia="仿宋_GB2312" w:cs="仿宋_GB2312"/>
        <w:sz w:val="18"/>
        <w:szCs w:val="18"/>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卢泓凯">
    <w15:presenceInfo w15:providerId="WPS Office" w15:userId="5859566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NWNkOGQ5OGVlNDI0OGNmYjQ0MzFmZGM3ZDI3MDgifQ=="/>
  </w:docVars>
  <w:rsids>
    <w:rsidRoot w:val="163724C7"/>
    <w:rsid w:val="005E16A6"/>
    <w:rsid w:val="01110A60"/>
    <w:rsid w:val="015522D5"/>
    <w:rsid w:val="01AE030F"/>
    <w:rsid w:val="026003DA"/>
    <w:rsid w:val="02924E2D"/>
    <w:rsid w:val="04C54AF7"/>
    <w:rsid w:val="05402104"/>
    <w:rsid w:val="0653286D"/>
    <w:rsid w:val="076E6E54"/>
    <w:rsid w:val="088B6211"/>
    <w:rsid w:val="0D54013C"/>
    <w:rsid w:val="0DB937C0"/>
    <w:rsid w:val="0EB110CC"/>
    <w:rsid w:val="0EDC703A"/>
    <w:rsid w:val="114F3C33"/>
    <w:rsid w:val="12C83D97"/>
    <w:rsid w:val="12F732F9"/>
    <w:rsid w:val="13BB1914"/>
    <w:rsid w:val="14337FB3"/>
    <w:rsid w:val="159B347E"/>
    <w:rsid w:val="163724C7"/>
    <w:rsid w:val="164F2A01"/>
    <w:rsid w:val="17C112A1"/>
    <w:rsid w:val="17FF0AA4"/>
    <w:rsid w:val="18757EE5"/>
    <w:rsid w:val="19495E63"/>
    <w:rsid w:val="19564A63"/>
    <w:rsid w:val="1A574838"/>
    <w:rsid w:val="1AFC1190"/>
    <w:rsid w:val="1B961B24"/>
    <w:rsid w:val="1DAF4B38"/>
    <w:rsid w:val="1EBC3632"/>
    <w:rsid w:val="1F1D16D5"/>
    <w:rsid w:val="1FB40652"/>
    <w:rsid w:val="216D1E84"/>
    <w:rsid w:val="256121AD"/>
    <w:rsid w:val="26536AD1"/>
    <w:rsid w:val="2A3F1F2B"/>
    <w:rsid w:val="2B882D77"/>
    <w:rsid w:val="2C1B6F9C"/>
    <w:rsid w:val="2CAC7197"/>
    <w:rsid w:val="2D8A36D2"/>
    <w:rsid w:val="2E396CE5"/>
    <w:rsid w:val="2F1C3682"/>
    <w:rsid w:val="2FB653A5"/>
    <w:rsid w:val="2FEC4ED7"/>
    <w:rsid w:val="300A7C25"/>
    <w:rsid w:val="304147F0"/>
    <w:rsid w:val="32805AFC"/>
    <w:rsid w:val="33886BB2"/>
    <w:rsid w:val="33CA3782"/>
    <w:rsid w:val="344277BC"/>
    <w:rsid w:val="37C56B6C"/>
    <w:rsid w:val="390034D4"/>
    <w:rsid w:val="39441F49"/>
    <w:rsid w:val="39FE3DA9"/>
    <w:rsid w:val="3BEF0080"/>
    <w:rsid w:val="3DCF2C73"/>
    <w:rsid w:val="3F163BF4"/>
    <w:rsid w:val="40063D93"/>
    <w:rsid w:val="41770876"/>
    <w:rsid w:val="42E632D9"/>
    <w:rsid w:val="434616B7"/>
    <w:rsid w:val="434D3AEB"/>
    <w:rsid w:val="43FA1BB6"/>
    <w:rsid w:val="44047066"/>
    <w:rsid w:val="46001285"/>
    <w:rsid w:val="46B04A59"/>
    <w:rsid w:val="4A5F6809"/>
    <w:rsid w:val="4B0B3820"/>
    <w:rsid w:val="4DBC16DB"/>
    <w:rsid w:val="4E3F346D"/>
    <w:rsid w:val="4E796ACA"/>
    <w:rsid w:val="4EDD4E60"/>
    <w:rsid w:val="50B6393F"/>
    <w:rsid w:val="52686871"/>
    <w:rsid w:val="52F263F9"/>
    <w:rsid w:val="54E579B0"/>
    <w:rsid w:val="55600228"/>
    <w:rsid w:val="56544045"/>
    <w:rsid w:val="56DB7934"/>
    <w:rsid w:val="58682C37"/>
    <w:rsid w:val="588C013C"/>
    <w:rsid w:val="58AA15F1"/>
    <w:rsid w:val="5A1922B1"/>
    <w:rsid w:val="5A816EAF"/>
    <w:rsid w:val="5A923BAF"/>
    <w:rsid w:val="5C8C450D"/>
    <w:rsid w:val="5D0B063B"/>
    <w:rsid w:val="5DA54C20"/>
    <w:rsid w:val="5F9F1AF5"/>
    <w:rsid w:val="5FE95A04"/>
    <w:rsid w:val="60315D5C"/>
    <w:rsid w:val="64FD5008"/>
    <w:rsid w:val="65183A9D"/>
    <w:rsid w:val="658B0298"/>
    <w:rsid w:val="66187E22"/>
    <w:rsid w:val="66395ED2"/>
    <w:rsid w:val="678A3734"/>
    <w:rsid w:val="68B23D3B"/>
    <w:rsid w:val="698F00A6"/>
    <w:rsid w:val="699A1360"/>
    <w:rsid w:val="699D19AF"/>
    <w:rsid w:val="69B12CC5"/>
    <w:rsid w:val="6ACA155E"/>
    <w:rsid w:val="6C42410E"/>
    <w:rsid w:val="6CC44A01"/>
    <w:rsid w:val="6CD30A81"/>
    <w:rsid w:val="6D8833C3"/>
    <w:rsid w:val="6DFC484C"/>
    <w:rsid w:val="6F2F34E9"/>
    <w:rsid w:val="6F912DCA"/>
    <w:rsid w:val="704743BD"/>
    <w:rsid w:val="73B10D49"/>
    <w:rsid w:val="74CD42AD"/>
    <w:rsid w:val="76732F37"/>
    <w:rsid w:val="77A91E0E"/>
    <w:rsid w:val="7AC932FE"/>
    <w:rsid w:val="7B5241F0"/>
    <w:rsid w:val="7BE75C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4"/>
    <w:qFormat/>
    <w:uiPriority w:val="0"/>
    <w:pPr>
      <w:keepNext/>
      <w:keepLines/>
      <w:spacing w:line="560" w:lineRule="exact"/>
      <w:ind w:firstLine="880" w:firstLineChars="200"/>
      <w:outlineLvl w:val="0"/>
    </w:pPr>
    <w:rPr>
      <w:rFonts w:eastAsia="黑体"/>
      <w:kern w:val="44"/>
      <w:sz w:val="32"/>
    </w:rPr>
  </w:style>
  <w:style w:type="paragraph" w:styleId="3">
    <w:name w:val="heading 2"/>
    <w:basedOn w:val="1"/>
    <w:next w:val="1"/>
    <w:link w:val="23"/>
    <w:semiHidden/>
    <w:unhideWhenUsed/>
    <w:qFormat/>
    <w:uiPriority w:val="0"/>
    <w:pPr>
      <w:keepNext/>
      <w:keepLines/>
      <w:spacing w:line="560" w:lineRule="exact"/>
      <w:ind w:firstLine="880" w:firstLineChars="200"/>
      <w:outlineLvl w:val="1"/>
    </w:pPr>
    <w:rPr>
      <w:rFonts w:ascii="Arial" w:hAnsi="Arial" w:eastAsia="楷体"/>
      <w:sz w:val="32"/>
    </w:rPr>
  </w:style>
  <w:style w:type="paragraph" w:styleId="4">
    <w:name w:val="heading 3"/>
    <w:next w:val="1"/>
    <w:link w:val="18"/>
    <w:semiHidden/>
    <w:unhideWhenUsed/>
    <w:qFormat/>
    <w:uiPriority w:val="0"/>
    <w:pPr>
      <w:spacing w:line="560" w:lineRule="exact"/>
      <w:ind w:left="0" w:firstLine="720" w:firstLineChars="200"/>
      <w:jc w:val="left"/>
      <w:outlineLvl w:val="2"/>
    </w:pPr>
    <w:rPr>
      <w:rFonts w:ascii="Arial" w:hAnsi="Arial" w:eastAsia="楷体" w:cs="Arial"/>
      <w:b/>
      <w:bCs/>
      <w:sz w:val="32"/>
      <w:szCs w:val="30"/>
    </w:rPr>
  </w:style>
  <w:style w:type="paragraph" w:styleId="5">
    <w:name w:val="heading 4"/>
    <w:basedOn w:val="1"/>
    <w:next w:val="1"/>
    <w:link w:val="19"/>
    <w:semiHidden/>
    <w:unhideWhenUsed/>
    <w:qFormat/>
    <w:uiPriority w:val="0"/>
    <w:pPr>
      <w:keepNext/>
      <w:keepLines/>
      <w:numPr>
        <w:ilvl w:val="3"/>
        <w:numId w:val="1"/>
      </w:numPr>
      <w:spacing w:before="0" w:beforeLines="0" w:beforeAutospacing="0" w:after="0" w:afterLines="0" w:afterAutospacing="0" w:line="560" w:lineRule="exact"/>
      <w:ind w:firstLine="402" w:firstLineChars="0"/>
      <w:outlineLvl w:val="3"/>
    </w:pPr>
    <w:rPr>
      <w:rFonts w:ascii="Arial" w:hAnsi="Arial"/>
      <w:sz w:val="28"/>
    </w:rPr>
  </w:style>
  <w:style w:type="paragraph" w:styleId="6">
    <w:name w:val="heading 5"/>
    <w:basedOn w:val="1"/>
    <w:next w:val="1"/>
    <w:link w:val="20"/>
    <w:semiHidden/>
    <w:unhideWhenUsed/>
    <w:qFormat/>
    <w:uiPriority w:val="0"/>
    <w:pPr>
      <w:keepNext/>
      <w:keepLines/>
      <w:numPr>
        <w:ilvl w:val="4"/>
        <w:numId w:val="1"/>
      </w:numPr>
      <w:spacing w:before="0" w:beforeLines="0" w:beforeAutospacing="0" w:after="0" w:afterLines="0" w:afterAutospacing="0" w:line="560" w:lineRule="exact"/>
      <w:ind w:firstLine="402" w:firstLineChars="0"/>
      <w:outlineLvl w:val="4"/>
    </w:pPr>
    <w:rPr>
      <w:rFonts w:ascii="Calibri" w:hAnsi="Calibri" w:cs="Calibri"/>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7">
    <w:name w:val="Default Paragraph Font"/>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11">
    <w:name w:val="annotation text"/>
    <w:basedOn w:val="1"/>
    <w:unhideWhenUsed/>
    <w:qFormat/>
    <w:uiPriority w:val="0"/>
    <w:pPr>
      <w:jc w:val="left"/>
    </w:pPr>
  </w:style>
  <w:style w:type="paragraph" w:styleId="12">
    <w:name w:val="Body Text"/>
    <w:basedOn w:val="1"/>
    <w:qFormat/>
    <w:uiPriority w:val="0"/>
    <w:pPr>
      <w:spacing w:line="560" w:lineRule="exact"/>
    </w:pPr>
    <w:rPr>
      <w:rFonts w:ascii="宋体" w:hAnsi="宋体" w:eastAsia="宋体"/>
      <w:kern w:val="2"/>
      <w:sz w:val="28"/>
      <w:lang w:val="en-US" w:eastAsia="zh-CN" w:bidi="ar-SA"/>
    </w:rPr>
  </w:style>
  <w:style w:type="paragraph" w:styleId="13">
    <w:name w:val="Body Text Indent"/>
    <w:basedOn w:val="1"/>
    <w:qFormat/>
    <w:uiPriority w:val="0"/>
    <w:pPr>
      <w:spacing w:after="120" w:afterLines="0" w:afterAutospacing="0"/>
      <w:ind w:left="420" w:leftChars="200"/>
    </w:pPr>
  </w:style>
  <w:style w:type="paragraph" w:styleId="14">
    <w:name w:val="toc 2"/>
    <w:basedOn w:val="1"/>
    <w:next w:val="1"/>
    <w:qFormat/>
    <w:uiPriority w:val="0"/>
    <w:pPr>
      <w:ind w:left="0" w:leftChars="0"/>
    </w:pPr>
    <w:rPr>
      <w:rFonts w:eastAsia="宋体"/>
    </w:rPr>
  </w:style>
  <w:style w:type="paragraph" w:styleId="15">
    <w:name w:val="Body Text First Indent 2"/>
    <w:basedOn w:val="13"/>
    <w:qFormat/>
    <w:uiPriority w:val="0"/>
    <w:pPr>
      <w:ind w:firstLine="420" w:firstLineChars="200"/>
    </w:pPr>
  </w:style>
  <w:style w:type="character" w:customStyle="1" w:styleId="18">
    <w:name w:val="标题 3 Char"/>
    <w:link w:val="4"/>
    <w:qFormat/>
    <w:uiPriority w:val="0"/>
    <w:rPr>
      <w:rFonts w:ascii="Arial" w:hAnsi="Arial" w:eastAsia="宋体" w:cs="Arial"/>
      <w:sz w:val="32"/>
    </w:rPr>
  </w:style>
  <w:style w:type="character" w:customStyle="1" w:styleId="19">
    <w:name w:val="标题 4 Char"/>
    <w:link w:val="5"/>
    <w:qFormat/>
    <w:uiPriority w:val="0"/>
    <w:rPr>
      <w:rFonts w:ascii="Arial" w:hAnsi="Arial" w:eastAsia="宋体"/>
      <w:sz w:val="28"/>
    </w:rPr>
  </w:style>
  <w:style w:type="character" w:customStyle="1" w:styleId="20">
    <w:name w:val="标题 5 Char"/>
    <w:link w:val="6"/>
    <w:qFormat/>
    <w:uiPriority w:val="0"/>
    <w:rPr>
      <w:rFonts w:ascii="Calibri" w:hAnsi="Calibri" w:eastAsia="仿宋_GB2312" w:cs="Calibri"/>
      <w:sz w:val="28"/>
    </w:rPr>
  </w:style>
  <w:style w:type="paragraph" w:customStyle="1" w:styleId="21">
    <w:name w:val="正文（official ）"/>
    <w:basedOn w:val="1"/>
    <w:qFormat/>
    <w:uiPriority w:val="0"/>
    <w:pPr>
      <w:spacing w:line="360" w:lineRule="auto"/>
      <w:ind w:firstLine="880" w:firstLineChars="200"/>
    </w:pPr>
    <w:rPr>
      <w:rFonts w:ascii="仿宋" w:hAnsi="仿宋"/>
      <w:sz w:val="28"/>
    </w:rPr>
  </w:style>
  <w:style w:type="paragraph" w:customStyle="1" w:styleId="22">
    <w:name w:val="标题2（一）"/>
    <w:basedOn w:val="3"/>
    <w:next w:val="1"/>
    <w:qFormat/>
    <w:uiPriority w:val="0"/>
    <w:pPr>
      <w:numPr>
        <w:ilvl w:val="0"/>
        <w:numId w:val="2"/>
      </w:numPr>
      <w:spacing w:line="560" w:lineRule="exact"/>
      <w:ind w:firstLine="641" w:firstLineChars="200"/>
    </w:pPr>
    <w:rPr>
      <w:rFonts w:ascii="楷体" w:hAnsi="楷体" w:cs="楷体"/>
      <w:sz w:val="24"/>
    </w:rPr>
  </w:style>
  <w:style w:type="character" w:customStyle="1" w:styleId="23">
    <w:name w:val="标题 2 字符"/>
    <w:link w:val="3"/>
    <w:qFormat/>
    <w:uiPriority w:val="0"/>
    <w:rPr>
      <w:rFonts w:ascii="Arial" w:hAnsi="Arial" w:eastAsia="楷体"/>
      <w:sz w:val="32"/>
    </w:rPr>
  </w:style>
  <w:style w:type="character" w:customStyle="1" w:styleId="24">
    <w:name w:val="标题 1 字符"/>
    <w:basedOn w:val="17"/>
    <w:link w:val="2"/>
    <w:qFormat/>
    <w:uiPriority w:val="9"/>
    <w:rPr>
      <w:rFonts w:ascii="Times New Roman" w:hAnsi="Times New Roman" w:eastAsia="黑体" w:cs="Arial"/>
      <w:bCs/>
      <w:kern w:val="44"/>
      <w:sz w:val="32"/>
      <w:szCs w:val="32"/>
      <w:lang w:val="en-US" w:eastAsia="zh-CN" w:bidi="ar-SA"/>
    </w:rPr>
  </w:style>
  <w:style w:type="paragraph" w:customStyle="1" w:styleId="25">
    <w:name w:val="正文（正）"/>
    <w:basedOn w:val="1"/>
    <w:link w:val="26"/>
    <w:qFormat/>
    <w:uiPriority w:val="0"/>
    <w:pPr>
      <w:wordWrap/>
      <w:overflowPunct/>
      <w:spacing w:line="560" w:lineRule="exact"/>
      <w:ind w:firstLine="880" w:firstLineChars="200"/>
    </w:pPr>
    <w:rPr>
      <w:rFonts w:ascii="仿宋" w:hAnsi="仿宋" w:eastAsia="仿宋_GB2312"/>
      <w:kern w:val="2"/>
      <w:sz w:val="32"/>
      <w:lang w:val="en-US" w:eastAsia="zh-CN" w:bidi="ar-SA"/>
    </w:rPr>
  </w:style>
  <w:style w:type="character" w:customStyle="1" w:styleId="26">
    <w:name w:val="正文（official ） Char"/>
    <w:link w:val="25"/>
    <w:qFormat/>
    <w:uiPriority w:val="0"/>
    <w:rPr>
      <w:rFonts w:ascii="仿宋" w:hAnsi="仿宋" w:eastAsia="仿宋_GB2312"/>
      <w:kern w:val="2"/>
      <w:sz w:val="32"/>
      <w:lang w:val="en-US" w:eastAsia="zh-CN" w:bidi="ar-SA"/>
    </w:rPr>
  </w:style>
  <w:style w:type="paragraph" w:styleId="27">
    <w:name w:val="List Paragraph"/>
    <w:basedOn w:val="1"/>
    <w:qFormat/>
    <w:uiPriority w:val="0"/>
    <w:pPr>
      <w:ind w:firstLine="420" w:firstLineChars="200"/>
    </w:pPr>
    <w:rPr>
      <w:szCs w:val="22"/>
    </w:rPr>
  </w:style>
  <w:style w:type="paragraph" w:customStyle="1" w:styleId="28">
    <w:name w:val="Table Paragraph"/>
    <w:basedOn w:val="1"/>
    <w:qFormat/>
    <w:uiPriority w:val="1"/>
    <w:pPr>
      <w:autoSpaceDE w:val="0"/>
      <w:autoSpaceDN w:val="0"/>
      <w:spacing w:line="400" w:lineRule="exact"/>
      <w:jc w:val="center"/>
    </w:pPr>
    <w:rPr>
      <w:rFonts w:ascii="仿宋_GB2312" w:hAnsi="仿宋_GB2312" w:eastAsia="仿宋_GB2312" w:cs="楷体"/>
      <w:kern w:val="0"/>
      <w:sz w:val="24"/>
      <w:szCs w:val="22"/>
      <w14:ligatures w14:val="standardContextual"/>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593</Words>
  <Characters>607</Characters>
  <Lines>0</Lines>
  <Paragraphs>0</Paragraphs>
  <TotalTime>39</TotalTime>
  <ScaleCrop>false</ScaleCrop>
  <LinksUpToDate>false</LinksUpToDate>
  <CharactersWithSpaces>619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2025-07-15T08:45:00Z</dcterms:created>
  <dc:creator>刘妍慧</dc:creator>
  <cp:lastModifiedBy>卢泓凯</cp:lastModifiedBy>
  <dcterms:modified xsi:type="dcterms:W3CDTF">2025-10-17T09:45:27Z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9D84DFB021754318ABB984D051800948_13</vt:lpwstr>
  </property>
  <property fmtid="{D5CDD505-2E9C-101B-9397-08002B2CF9AE}" pid="4" name="KSOTemplateDocerSaveRecord">
    <vt:lpwstr>eyJoZGlkIjoiMjQ4OWRkZTI5YTMzZGNiMDBiZGIyYzdjMzc1Y2ZkNGMiLCJ1c2VySWQiOiIxNTUxNTAwNDIzIn0=</vt:lpwstr>
  </property>
</Properties>
</file>