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微软雅黑" w:hAnsi="微软雅黑" w:eastAsia="微软雅黑" w:cs="微软雅黑"/>
          <w:b/>
          <w:bCs/>
          <w:color w:val="auto"/>
          <w:sz w:val="40"/>
          <w:szCs w:val="40"/>
          <w:highlight w:val="none"/>
          <w:lang w:val="en-US" w:eastAsia="zh-CN"/>
        </w:rPr>
      </w:pPr>
      <w:bookmarkStart w:id="1" w:name="_GoBack"/>
      <w:bookmarkEnd w:id="1"/>
      <w:bookmarkStart w:id="0" w:name="_Hlk192235212"/>
      <w:r>
        <w:rPr>
          <w:rFonts w:hint="eastAsia" w:ascii="微软雅黑" w:hAnsi="微软雅黑" w:eastAsia="微软雅黑" w:cs="微软雅黑"/>
          <w:b/>
          <w:bCs/>
          <w:color w:val="auto"/>
          <w:sz w:val="40"/>
          <w:szCs w:val="40"/>
          <w:highlight w:val="none"/>
          <w:lang w:val="en-US" w:eastAsia="zh-CN"/>
        </w:rPr>
        <w:t>闽清县闽江创业投资引导基金</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方正小标宋_GBK" w:hAnsi="方正小标宋_GBK" w:eastAsia="方正小标宋_GBK" w:cs="方正小标宋_GBK"/>
          <w:b/>
          <w:bCs/>
          <w:color w:val="auto"/>
          <w:sz w:val="40"/>
          <w:szCs w:val="40"/>
          <w:highlight w:val="none"/>
        </w:rPr>
      </w:pPr>
      <w:r>
        <w:rPr>
          <w:rFonts w:hint="eastAsia" w:ascii="微软雅黑" w:hAnsi="微软雅黑" w:eastAsia="微软雅黑" w:cs="微软雅黑"/>
          <w:b/>
          <w:bCs/>
          <w:color w:val="auto"/>
          <w:sz w:val="40"/>
          <w:szCs w:val="40"/>
          <w:highlight w:val="none"/>
          <w:lang w:val="en-US" w:eastAsia="zh-CN"/>
        </w:rPr>
        <w:t>管理人及银行托管机构</w:t>
      </w:r>
      <w:r>
        <w:rPr>
          <w:rFonts w:hint="eastAsia" w:ascii="微软雅黑" w:hAnsi="微软雅黑" w:eastAsia="微软雅黑" w:cs="微软雅黑"/>
          <w:b/>
          <w:bCs/>
          <w:color w:val="auto"/>
          <w:sz w:val="40"/>
          <w:szCs w:val="40"/>
          <w:highlight w:val="none"/>
          <w:lang w:eastAsia="zh-CN"/>
        </w:rPr>
        <w:t>征集</w:t>
      </w:r>
      <w:r>
        <w:rPr>
          <w:rFonts w:hint="eastAsia" w:ascii="微软雅黑" w:hAnsi="微软雅黑" w:eastAsia="微软雅黑" w:cs="微软雅黑"/>
          <w:b/>
          <w:bCs/>
          <w:color w:val="auto"/>
          <w:sz w:val="40"/>
          <w:szCs w:val="40"/>
          <w:highlight w:val="none"/>
        </w:rPr>
        <w:t>申报指南</w:t>
      </w:r>
      <w:bookmarkEnd w:id="0"/>
    </w:p>
    <w:p>
      <w:pPr>
        <w:spacing w:line="560" w:lineRule="exact"/>
        <w:ind w:firstLine="800" w:firstLineChars="200"/>
        <w:jc w:val="center"/>
        <w:rPr>
          <w:rFonts w:ascii="仿宋_GB2312" w:hAnsi="仿宋_GB2312" w:eastAsia="仿宋_GB2312" w:cs="仿宋_GB2312"/>
          <w:color w:val="auto"/>
          <w:sz w:val="40"/>
          <w:szCs w:val="40"/>
          <w:highlight w:val="none"/>
        </w:rPr>
      </w:pPr>
    </w:p>
    <w:p>
      <w:pPr>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w:t>
      </w:r>
      <w:r>
        <w:rPr>
          <w:rFonts w:hint="eastAsia" w:cs="仿宋_GB2312"/>
          <w:color w:val="auto"/>
          <w:sz w:val="32"/>
          <w:szCs w:val="32"/>
          <w:highlight w:val="none"/>
          <w:lang w:val="en-US" w:eastAsia="zh-CN"/>
        </w:rPr>
        <w:t>加快推动闽清县</w:t>
      </w:r>
      <w:r>
        <w:rPr>
          <w:rFonts w:hint="eastAsia" w:ascii="仿宋_GB2312" w:hAnsi="仿宋_GB2312" w:eastAsia="仿宋_GB2312" w:cs="仿宋_GB2312"/>
          <w:color w:val="auto"/>
          <w:sz w:val="32"/>
          <w:szCs w:val="32"/>
          <w:highlight w:val="none"/>
          <w:lang w:val="en-US" w:eastAsia="zh-CN"/>
        </w:rPr>
        <w:t>产业发展，拓宽投资渠道，加快产业布局，</w:t>
      </w:r>
      <w:r>
        <w:rPr>
          <w:rFonts w:hint="eastAsia" w:cs="仿宋_GB2312"/>
          <w:color w:val="auto"/>
          <w:sz w:val="32"/>
          <w:szCs w:val="32"/>
          <w:highlight w:val="none"/>
          <w:lang w:val="en-US" w:eastAsia="zh-CN"/>
        </w:rPr>
        <w:t>闽清县政府</w:t>
      </w:r>
      <w:r>
        <w:rPr>
          <w:rFonts w:hint="eastAsia" w:ascii="仿宋_GB2312" w:hAnsi="仿宋_GB2312" w:eastAsia="仿宋_GB2312" w:cs="仿宋_GB2312"/>
          <w:color w:val="auto"/>
          <w:sz w:val="32"/>
          <w:szCs w:val="32"/>
          <w:highlight w:val="none"/>
          <w:lang w:val="en-US" w:eastAsia="zh-CN"/>
        </w:rPr>
        <w:t>拟以闽清县产业投资有限公司作为主发起人，吸引优质基金管理机构共同发起设立闽江创业投资引导基金（暂定名，以市场监督管理部门最终核准结果为准）。</w:t>
      </w:r>
    </w:p>
    <w:p>
      <w:pPr>
        <w:pStyle w:val="27"/>
        <w:bidi w:val="0"/>
        <w:rPr>
          <w:rFonts w:hint="eastAsia"/>
          <w:color w:val="auto"/>
          <w:highlight w:val="none"/>
        </w:rPr>
      </w:pPr>
      <w:r>
        <w:rPr>
          <w:rFonts w:hint="eastAsia"/>
          <w:color w:val="auto"/>
          <w:highlight w:val="none"/>
          <w:lang w:val="en-US" w:eastAsia="zh-CN"/>
        </w:rPr>
        <w:t>一、</w:t>
      </w:r>
      <w:r>
        <w:rPr>
          <w:rFonts w:hint="eastAsia"/>
          <w:color w:val="auto"/>
          <w:highlight w:val="none"/>
        </w:rPr>
        <w:t>基金设立要求</w:t>
      </w:r>
    </w:p>
    <w:p>
      <w:pPr>
        <w:pStyle w:val="21"/>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rPr>
        <w:t>基本要素</w:t>
      </w:r>
    </w:p>
    <w:p>
      <w:pPr>
        <w:pStyle w:val="29"/>
        <w:bidi w:val="0"/>
        <w:rPr>
          <w:rFonts w:hint="eastAsia"/>
          <w:color w:val="auto"/>
          <w:highlight w:val="none"/>
        </w:rPr>
      </w:pPr>
      <w:r>
        <w:rPr>
          <w:rFonts w:hint="eastAsia"/>
          <w:color w:val="auto"/>
          <w:highlight w:val="none"/>
        </w:rPr>
        <w:t>1.基金名称</w:t>
      </w:r>
    </w:p>
    <w:p>
      <w:pPr>
        <w:pStyle w:val="23"/>
        <w:bidi w:val="0"/>
        <w:rPr>
          <w:rFonts w:hint="eastAsia" w:eastAsia="仿宋_GB2312"/>
          <w:color w:val="auto"/>
          <w:highlight w:val="none"/>
          <w:lang w:eastAsia="zh-CN"/>
        </w:rPr>
      </w:pPr>
      <w:r>
        <w:rPr>
          <w:rFonts w:hint="eastAsia"/>
          <w:color w:val="auto"/>
          <w:highlight w:val="none"/>
        </w:rPr>
        <w:t>闽江创业投资引导基金，具体名称以工商核定为准</w:t>
      </w:r>
      <w:r>
        <w:rPr>
          <w:rFonts w:hint="eastAsia"/>
          <w:color w:val="auto"/>
          <w:highlight w:val="none"/>
          <w:lang w:eastAsia="zh-CN"/>
        </w:rPr>
        <w:t>。</w:t>
      </w:r>
    </w:p>
    <w:p>
      <w:pPr>
        <w:pStyle w:val="29"/>
        <w:bidi w:val="0"/>
        <w:rPr>
          <w:rFonts w:hint="eastAsia"/>
          <w:color w:val="auto"/>
          <w:highlight w:val="none"/>
        </w:rPr>
      </w:pPr>
      <w:r>
        <w:rPr>
          <w:rFonts w:hint="eastAsia"/>
          <w:color w:val="auto"/>
          <w:highlight w:val="none"/>
        </w:rPr>
        <w:t>2.注册地址</w:t>
      </w:r>
    </w:p>
    <w:p>
      <w:pPr>
        <w:pStyle w:val="23"/>
        <w:bidi w:val="0"/>
        <w:rPr>
          <w:rFonts w:hint="eastAsia" w:eastAsia="仿宋_GB2312"/>
          <w:color w:val="auto"/>
          <w:highlight w:val="none"/>
          <w:lang w:eastAsia="zh-CN"/>
        </w:rPr>
      </w:pPr>
      <w:r>
        <w:rPr>
          <w:rFonts w:hint="eastAsia"/>
          <w:color w:val="auto"/>
          <w:highlight w:val="none"/>
          <w:lang w:val="en-US" w:eastAsia="zh-CN"/>
        </w:rPr>
        <w:t>闽清县</w:t>
      </w:r>
      <w:r>
        <w:rPr>
          <w:rFonts w:hint="eastAsia"/>
          <w:color w:val="auto"/>
          <w:highlight w:val="none"/>
          <w:lang w:eastAsia="zh-CN"/>
        </w:rPr>
        <w:t>。</w:t>
      </w:r>
    </w:p>
    <w:p>
      <w:pPr>
        <w:pStyle w:val="29"/>
        <w:bidi w:val="0"/>
        <w:rPr>
          <w:rFonts w:hint="eastAsia"/>
          <w:color w:val="auto"/>
          <w:highlight w:val="none"/>
        </w:rPr>
      </w:pPr>
      <w:r>
        <w:rPr>
          <w:rFonts w:hint="eastAsia"/>
          <w:color w:val="auto"/>
          <w:highlight w:val="none"/>
        </w:rPr>
        <w:t>3.组织形式</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有限合伙企业。</w:t>
      </w:r>
    </w:p>
    <w:p>
      <w:pPr>
        <w:pStyle w:val="29"/>
        <w:bidi w:val="0"/>
        <w:rPr>
          <w:rFonts w:hint="eastAsia"/>
          <w:color w:val="auto"/>
          <w:highlight w:val="none"/>
        </w:rPr>
      </w:pPr>
      <w:r>
        <w:rPr>
          <w:rFonts w:hint="eastAsia"/>
          <w:color w:val="auto"/>
          <w:highlight w:val="none"/>
        </w:rPr>
        <w:t>4.基金规模</w:t>
      </w:r>
    </w:p>
    <w:p>
      <w:pPr>
        <w:pStyle w:val="23"/>
        <w:bidi w:val="0"/>
        <w:rPr>
          <w:rFonts w:hint="eastAsia"/>
          <w:color w:val="auto"/>
          <w:highlight w:val="none"/>
          <w:lang w:val="en-US" w:eastAsia="zh-CN"/>
        </w:rPr>
      </w:pPr>
      <w:r>
        <w:rPr>
          <w:rFonts w:hint="eastAsia"/>
          <w:color w:val="auto"/>
          <w:highlight w:val="none"/>
          <w:lang w:val="en-US" w:eastAsia="zh-CN"/>
        </w:rPr>
        <w:t>总规模10亿元。</w:t>
      </w:r>
      <w:r>
        <w:rPr>
          <w:rFonts w:hint="eastAsia"/>
          <w:color w:val="auto"/>
          <w:highlight w:val="none"/>
        </w:rPr>
        <w:t>首期注册规模5000万元</w:t>
      </w:r>
      <w:r>
        <w:rPr>
          <w:rFonts w:hint="eastAsia"/>
          <w:color w:val="auto"/>
          <w:highlight w:val="none"/>
          <w:lang w:val="en-US" w:eastAsia="zh-CN"/>
        </w:rPr>
        <w:t>。</w:t>
      </w:r>
    </w:p>
    <w:p>
      <w:pPr>
        <w:pStyle w:val="29"/>
        <w:bidi w:val="0"/>
        <w:rPr>
          <w:rFonts w:hint="eastAsia"/>
          <w:color w:val="auto"/>
          <w:highlight w:val="none"/>
        </w:rPr>
      </w:pPr>
      <w:r>
        <w:rPr>
          <w:rFonts w:hint="eastAsia"/>
          <w:color w:val="auto"/>
          <w:highlight w:val="none"/>
          <w:lang w:val="en-US" w:eastAsia="zh-CN"/>
        </w:rPr>
        <w:t>5</w:t>
      </w:r>
      <w:r>
        <w:rPr>
          <w:rFonts w:hint="eastAsia"/>
          <w:color w:val="auto"/>
          <w:highlight w:val="none"/>
        </w:rPr>
        <w:t>.出资方案</w:t>
      </w:r>
    </w:p>
    <w:p>
      <w:pPr>
        <w:pageBreakBefore w:val="0"/>
        <w:kinsoku/>
        <w:wordWrap/>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highlight w:val="none"/>
          <w:lang w:val="en-US" w:eastAsia="zh-CN"/>
        </w:rPr>
      </w:pPr>
      <w:r>
        <w:rPr>
          <w:rFonts w:hint="eastAsia" w:cs="仿宋_GB2312"/>
          <w:color w:val="auto"/>
          <w:highlight w:val="none"/>
          <w:lang w:val="en-US" w:eastAsia="zh-CN"/>
        </w:rPr>
        <w:t>首期出资按首期注册规模20%实缴资本金。</w:t>
      </w:r>
      <w:r>
        <w:rPr>
          <w:rFonts w:hint="default" w:cs="仿宋_GB2312"/>
          <w:color w:val="auto"/>
          <w:highlight w:val="none"/>
        </w:rPr>
        <w:t>闽清县产业投资有限公司</w:t>
      </w:r>
      <w:r>
        <w:rPr>
          <w:rFonts w:hint="eastAsia" w:ascii="仿宋_GB2312" w:hAnsi="仿宋_GB2312" w:eastAsia="仿宋_GB2312" w:cs="仿宋_GB2312"/>
          <w:color w:val="auto"/>
          <w:highlight w:val="none"/>
          <w:lang w:val="en-US" w:eastAsia="zh-CN"/>
        </w:rPr>
        <w:t>出资比例</w:t>
      </w:r>
      <w:r>
        <w:rPr>
          <w:rFonts w:hint="eastAsia" w:cs="仿宋_GB2312"/>
          <w:color w:val="auto"/>
          <w:highlight w:val="none"/>
          <w:lang w:val="en-US" w:eastAsia="zh-CN"/>
        </w:rPr>
        <w:t>为基金总规模的</w:t>
      </w:r>
      <w:r>
        <w:rPr>
          <w:rFonts w:hint="eastAsia" w:cs="仿宋_GB2312"/>
          <w:color w:val="auto"/>
          <w:highlight w:val="none"/>
        </w:rPr>
        <w:t>99.99%</w:t>
      </w:r>
      <w:r>
        <w:rPr>
          <w:rFonts w:hint="eastAsia" w:cs="仿宋_GB2312"/>
          <w:color w:val="auto"/>
          <w:highlight w:val="none"/>
          <w:lang w:val="en-US" w:eastAsia="zh-CN"/>
        </w:rPr>
        <w:t>，基金管理机构</w:t>
      </w:r>
      <w:r>
        <w:rPr>
          <w:rFonts w:hint="eastAsia" w:ascii="仿宋_GB2312" w:hAnsi="仿宋_GB2312" w:eastAsia="仿宋_GB2312" w:cs="仿宋_GB2312"/>
          <w:color w:val="auto"/>
          <w:highlight w:val="none"/>
          <w:lang w:val="en-US" w:eastAsia="zh-CN"/>
        </w:rPr>
        <w:t>出资比例</w:t>
      </w:r>
      <w:r>
        <w:rPr>
          <w:rFonts w:hint="eastAsia" w:cs="仿宋_GB2312"/>
          <w:color w:val="auto"/>
          <w:highlight w:val="none"/>
          <w:lang w:val="en-US" w:eastAsia="zh-CN"/>
        </w:rPr>
        <w:t>为基金总规模的0</w:t>
      </w:r>
      <w:r>
        <w:rPr>
          <w:rFonts w:hint="eastAsia" w:cs="仿宋_GB2312"/>
          <w:color w:val="auto"/>
          <w:highlight w:val="none"/>
        </w:rPr>
        <w:t>.</w:t>
      </w:r>
      <w:r>
        <w:rPr>
          <w:rFonts w:hint="eastAsia" w:cs="仿宋_GB2312"/>
          <w:color w:val="auto"/>
          <w:highlight w:val="none"/>
          <w:lang w:val="en-US" w:eastAsia="zh-CN"/>
        </w:rPr>
        <w:t>01</w:t>
      </w:r>
      <w:r>
        <w:rPr>
          <w:rFonts w:hint="eastAsia" w:cs="仿宋_GB2312"/>
          <w:color w:val="auto"/>
          <w:highlight w:val="none"/>
        </w:rPr>
        <w:t>%</w:t>
      </w:r>
      <w:r>
        <w:rPr>
          <w:rFonts w:hint="eastAsia" w:cs="仿宋_GB2312"/>
          <w:color w:val="auto"/>
          <w:highlight w:val="none"/>
          <w:lang w:val="en-US" w:eastAsia="zh-CN"/>
        </w:rPr>
        <w:t>，全体合伙人按照各自认缴比例同时实缴资本金。</w:t>
      </w:r>
    </w:p>
    <w:p>
      <w:pPr>
        <w:pStyle w:val="29"/>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rPr>
        <w:t>.基金</w:t>
      </w:r>
      <w:r>
        <w:rPr>
          <w:rFonts w:hint="eastAsia"/>
          <w:color w:val="auto"/>
          <w:highlight w:val="none"/>
          <w:lang w:val="en-US" w:eastAsia="zh-CN"/>
        </w:rPr>
        <w:t>存续期</w:t>
      </w:r>
    </w:p>
    <w:p>
      <w:pPr>
        <w:pageBreakBefore w:val="0"/>
        <w:widowControl/>
        <w:shd w:val="clear" w:color="auto" w:fill="auto"/>
        <w:kinsoku/>
        <w:wordWrap/>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基金期限：</w:t>
      </w:r>
      <w:r>
        <w:rPr>
          <w:rFonts w:hint="eastAsia" w:cs="仿宋_GB2312"/>
          <w:color w:val="auto"/>
          <w:highlight w:val="none"/>
          <w:lang w:val="en-US" w:eastAsia="zh-CN"/>
        </w:rPr>
        <w:t>7</w:t>
      </w:r>
      <w:r>
        <w:rPr>
          <w:rFonts w:hint="eastAsia" w:ascii="仿宋_GB2312" w:hAnsi="仿宋_GB2312" w:eastAsia="仿宋_GB2312" w:cs="仿宋_GB2312"/>
          <w:color w:val="auto"/>
          <w:highlight w:val="none"/>
        </w:rPr>
        <w:t>年（暂定），即投资期</w:t>
      </w:r>
      <w:r>
        <w:rPr>
          <w:rFonts w:hint="eastAsia" w:cs="仿宋_GB2312"/>
          <w:color w:val="auto"/>
          <w:highlight w:val="none"/>
          <w:lang w:val="en-US" w:eastAsia="zh-CN"/>
        </w:rPr>
        <w:t>3</w:t>
      </w:r>
      <w:r>
        <w:rPr>
          <w:rFonts w:hint="eastAsia" w:ascii="仿宋_GB2312" w:hAnsi="仿宋_GB2312" w:eastAsia="仿宋_GB2312" w:cs="仿宋_GB2312"/>
          <w:color w:val="auto"/>
          <w:highlight w:val="none"/>
        </w:rPr>
        <w:t>年，退出期</w:t>
      </w:r>
      <w:r>
        <w:rPr>
          <w:rFonts w:hint="eastAsia" w:cs="仿宋_GB2312"/>
          <w:color w:val="auto"/>
          <w:highlight w:val="none"/>
          <w:lang w:val="en-US" w:eastAsia="zh-CN"/>
        </w:rPr>
        <w:t>2</w:t>
      </w:r>
      <w:r>
        <w:rPr>
          <w:rFonts w:hint="eastAsia" w:ascii="仿宋_GB2312" w:hAnsi="仿宋_GB2312" w:eastAsia="仿宋_GB2312" w:cs="仿宋_GB2312"/>
          <w:color w:val="auto"/>
          <w:highlight w:val="none"/>
        </w:rPr>
        <w:t>年，最长不超过2年延长期。</w:t>
      </w:r>
    </w:p>
    <w:p>
      <w:pPr>
        <w:pageBreakBefore w:val="0"/>
        <w:kinsoku/>
        <w:wordWrap/>
        <w:overflowPunct w:val="0"/>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7.管理费用</w:t>
      </w:r>
    </w:p>
    <w:p>
      <w:pPr>
        <w:pStyle w:val="23"/>
        <w:bidi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投资期内，每年管理费</w:t>
      </w:r>
      <w:r>
        <w:rPr>
          <w:rFonts w:hint="eastAsia"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eastAsia="zh-CN"/>
        </w:rPr>
        <w:t>基金实际投资规模的百分之一点</w:t>
      </w:r>
      <w:r>
        <w:rPr>
          <w:rFonts w:hint="eastAsia"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（1.</w:t>
      </w:r>
      <w:r>
        <w:rPr>
          <w:rFonts w:hint="eastAsia"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％）。退出期内，每年管理费按未退出实际成本的百分之一点</w:t>
      </w:r>
      <w:r>
        <w:rPr>
          <w:rFonts w:hint="eastAsia"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（1.</w:t>
      </w:r>
      <w:r>
        <w:rPr>
          <w:rFonts w:hint="eastAsia"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p>
    <w:p>
      <w:pPr>
        <w:pStyle w:val="23"/>
        <w:rPr>
          <w:rFonts w:hint="eastAsia" w:ascii="仿宋_GB2312" w:hAnsi="仿宋_GB2312" w:eastAsia="仿宋_GB2312" w:cs="仿宋_GB2312"/>
          <w:color w:val="auto"/>
          <w:sz w:val="32"/>
          <w:szCs w:val="32"/>
          <w:highlight w:val="none"/>
          <w:lang w:eastAsia="zh-CN"/>
        </w:rPr>
      </w:pPr>
      <w:r>
        <w:rPr>
          <w:rFonts w:hint="eastAsia"/>
          <w:color w:val="auto"/>
          <w:highlight w:val="none"/>
          <w:lang w:val="en-US" w:eastAsia="zh-CN"/>
        </w:rPr>
        <w:t>注：最终以合伙协议约定为准。</w:t>
      </w:r>
    </w:p>
    <w:p>
      <w:pPr>
        <w:pStyle w:val="29"/>
        <w:bidi w:val="0"/>
        <w:rPr>
          <w:rFonts w:hint="eastAsia"/>
          <w:color w:val="auto"/>
          <w:highlight w:val="none"/>
          <w:lang w:eastAsia="zh-CN"/>
        </w:rPr>
      </w:pPr>
      <w:r>
        <w:rPr>
          <w:rFonts w:hint="eastAsia"/>
          <w:color w:val="auto"/>
          <w:highlight w:val="none"/>
          <w:lang w:val="en-US" w:eastAsia="zh-CN"/>
        </w:rPr>
        <w:t>8</w:t>
      </w:r>
      <w:r>
        <w:rPr>
          <w:rFonts w:hint="eastAsia"/>
          <w:color w:val="auto"/>
          <w:highlight w:val="none"/>
        </w:rPr>
        <w:t>.基金治理结构和组织架构</w:t>
      </w:r>
    </w:p>
    <w:p>
      <w:pPr>
        <w:bidi w:val="0"/>
        <w:spacing w:line="560" w:lineRule="exact"/>
        <w:ind w:firstLine="640"/>
        <w:rPr>
          <w:rFonts w:hint="eastAsia"/>
          <w:color w:val="auto"/>
          <w:highlight w:val="none"/>
          <w:lang w:eastAsia="zh-CN"/>
        </w:rPr>
      </w:pPr>
      <w:r>
        <w:rPr>
          <w:rFonts w:hint="eastAsia"/>
          <w:color w:val="auto"/>
          <w:highlight w:val="none"/>
          <w:lang w:eastAsia="zh-CN"/>
        </w:rPr>
        <w:t>基金设合伙人会议、基金监督管理</w:t>
      </w:r>
      <w:r>
        <w:rPr>
          <w:rFonts w:hint="eastAsia"/>
          <w:color w:val="auto"/>
          <w:highlight w:val="none"/>
          <w:lang w:val="en-US" w:eastAsia="zh-CN"/>
        </w:rPr>
        <w:t>委员会</w:t>
      </w:r>
      <w:r>
        <w:rPr>
          <w:rFonts w:hint="eastAsia"/>
          <w:color w:val="auto"/>
          <w:highlight w:val="none"/>
          <w:lang w:eastAsia="zh-CN"/>
        </w:rPr>
        <w:t>、投资决策委员会、</w:t>
      </w:r>
      <w:r>
        <w:rPr>
          <w:rFonts w:hint="eastAsia"/>
          <w:color w:val="auto"/>
          <w:highlight w:val="none"/>
          <w:lang w:val="en-US" w:eastAsia="zh-CN"/>
        </w:rPr>
        <w:t>技术评审小组</w:t>
      </w:r>
      <w:r>
        <w:rPr>
          <w:rFonts w:hint="eastAsia"/>
          <w:color w:val="auto"/>
          <w:highlight w:val="none"/>
          <w:lang w:eastAsia="zh-CN"/>
        </w:rPr>
        <w:t>，按基金合伙协议约定决策基金</w:t>
      </w:r>
      <w:r>
        <w:rPr>
          <w:rFonts w:hint="eastAsia"/>
          <w:color w:val="auto"/>
          <w:highlight w:val="none"/>
          <w:lang w:val="en-US" w:eastAsia="zh-CN"/>
        </w:rPr>
        <w:t>相关</w:t>
      </w:r>
      <w:r>
        <w:rPr>
          <w:rFonts w:hint="eastAsia"/>
          <w:color w:val="auto"/>
          <w:highlight w:val="none"/>
          <w:lang w:eastAsia="zh-CN"/>
        </w:rPr>
        <w:t>事务。基金管理机构</w:t>
      </w:r>
      <w:r>
        <w:rPr>
          <w:rFonts w:hint="eastAsia"/>
          <w:color w:val="auto"/>
          <w:highlight w:val="none"/>
        </w:rPr>
        <w:t>负责投资决策委员会组建及运作。投资决策委员会拟设</w:t>
      </w:r>
      <w:r>
        <w:rPr>
          <w:rFonts w:hint="eastAsia"/>
          <w:color w:val="auto"/>
          <w:highlight w:val="none"/>
          <w:lang w:val="en-US" w:eastAsia="zh-CN"/>
        </w:rPr>
        <w:t>5</w:t>
      </w:r>
      <w:r>
        <w:rPr>
          <w:rFonts w:hint="eastAsia"/>
          <w:color w:val="auto"/>
          <w:highlight w:val="none"/>
        </w:rPr>
        <w:t>名委员，其中基金管理人（3名）、闽清县产业投资有限公司（1名）、外部行业专家或者投资专家（1名），投委会委员一人一票。</w:t>
      </w:r>
      <w:r>
        <w:rPr>
          <w:rFonts w:hint="eastAsia" w:ascii="仿宋_GB2312" w:hAnsi="仿宋_GB2312" w:eastAsia="仿宋_GB2312" w:cs="仿宋_GB2312"/>
          <w:color w:val="000000"/>
          <w:sz w:val="32"/>
          <w:szCs w:val="32"/>
        </w:rPr>
        <w:t>审议事项须经投资决策委员会五分之三以上（含）成员同意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待</w:t>
      </w:r>
      <w:r>
        <w:rPr>
          <w:rFonts w:hint="eastAsia" w:ascii="仿宋_GB2312" w:hAnsi="仿宋_GB2312" w:eastAsia="仿宋_GB2312" w:cs="仿宋_GB2312"/>
          <w:color w:val="000000"/>
          <w:sz w:val="32"/>
          <w:szCs w:val="32"/>
          <w:lang w:val="en-US" w:eastAsia="zh-CN"/>
        </w:rPr>
        <w:t>投资决策委员会</w:t>
      </w:r>
      <w:r>
        <w:rPr>
          <w:rFonts w:hint="eastAsia" w:ascii="仿宋_GB2312" w:hAnsi="仿宋_GB2312" w:eastAsia="仿宋_GB2312" w:cs="仿宋_GB2312"/>
          <w:color w:val="000000"/>
          <w:sz w:val="32"/>
          <w:szCs w:val="32"/>
        </w:rPr>
        <w:t>审议通过后报县政府专题会议研究批准</w:t>
      </w:r>
      <w:r>
        <w:rPr>
          <w:rFonts w:hint="eastAsia" w:ascii="仿宋_GB2312" w:hAnsi="仿宋_GB2312" w:eastAsia="仿宋_GB2312" w:cs="仿宋_GB2312"/>
          <w:color w:val="000000"/>
          <w:sz w:val="32"/>
          <w:szCs w:val="32"/>
          <w:lang w:eastAsia="zh-CN"/>
        </w:rPr>
        <w:t>。</w:t>
      </w:r>
    </w:p>
    <w:p>
      <w:pPr>
        <w:pStyle w:val="23"/>
        <w:bidi w:val="0"/>
        <w:rPr>
          <w:rFonts w:hint="default"/>
          <w:color w:val="auto"/>
          <w:highlight w:val="none"/>
          <w:lang w:val="en-US" w:eastAsia="zh-CN"/>
        </w:rPr>
      </w:pPr>
      <w:r>
        <w:rPr>
          <w:rFonts w:hint="eastAsia"/>
          <w:color w:val="auto"/>
          <w:highlight w:val="none"/>
          <w:lang w:val="en-US" w:eastAsia="zh-CN"/>
        </w:rPr>
        <w:t>注：最终以合伙协议约定为准。</w:t>
      </w:r>
    </w:p>
    <w:p>
      <w:pPr>
        <w:pStyle w:val="29"/>
        <w:bidi w:val="0"/>
        <w:rPr>
          <w:rFonts w:hint="eastAsia"/>
          <w:color w:val="auto"/>
          <w:highlight w:val="none"/>
          <w:lang w:val="en-US" w:eastAsia="zh-CN"/>
        </w:rPr>
      </w:pPr>
      <w:r>
        <w:rPr>
          <w:rFonts w:hint="eastAsia"/>
          <w:color w:val="auto"/>
          <w:highlight w:val="none"/>
          <w:lang w:val="en-US" w:eastAsia="zh-CN"/>
        </w:rPr>
        <w:t>9.收益分配与业绩报酬</w:t>
      </w:r>
    </w:p>
    <w:p>
      <w:pPr>
        <w:pStyle w:val="23"/>
        <w:bidi w:val="0"/>
        <w:rPr>
          <w:rFonts w:hint="eastAsia"/>
          <w:color w:val="auto"/>
          <w:highlight w:val="none"/>
          <w:lang w:eastAsia="zh-CN"/>
        </w:rPr>
      </w:pPr>
      <w:r>
        <w:rPr>
          <w:rFonts w:hint="eastAsia"/>
          <w:color w:val="auto"/>
          <w:highlight w:val="none"/>
        </w:rPr>
        <w:t>基金在投资期内可使用可分配收入进行循环投资，如当期有盈余，应向股东酌情适量分配以覆盖资金成本。基金运营期间，闽清县产业投资有限公司出资形成的投资标的股权可按不低于其累计项目实际投资额和门槛收益（门槛收益=项目实际投资额×同期央行5年期贷款市场报价利率×投资期（天数）÷360日）的价格提前转让。</w:t>
      </w:r>
    </w:p>
    <w:p>
      <w:pPr>
        <w:pStyle w:val="23"/>
        <w:bidi w:val="0"/>
        <w:rPr>
          <w:rFonts w:hint="eastAsia"/>
          <w:color w:val="auto"/>
          <w:highlight w:val="none"/>
        </w:rPr>
      </w:pPr>
      <w:r>
        <w:rPr>
          <w:rFonts w:hint="eastAsia"/>
          <w:color w:val="auto"/>
          <w:highlight w:val="none"/>
        </w:rPr>
        <w:t>注：最终以</w:t>
      </w:r>
      <w:r>
        <w:rPr>
          <w:rFonts w:hint="eastAsia"/>
          <w:color w:val="auto"/>
          <w:highlight w:val="none"/>
          <w:lang w:val="en-US" w:eastAsia="zh-CN"/>
        </w:rPr>
        <w:t>合伙</w:t>
      </w:r>
      <w:r>
        <w:rPr>
          <w:rFonts w:hint="eastAsia"/>
          <w:color w:val="auto"/>
          <w:highlight w:val="none"/>
        </w:rPr>
        <w:t>协议约定为准。</w:t>
      </w:r>
    </w:p>
    <w:p>
      <w:pPr>
        <w:pStyle w:val="21"/>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二）备案</w:t>
      </w:r>
      <w:r>
        <w:rPr>
          <w:rFonts w:hint="eastAsia"/>
          <w:color w:val="auto"/>
          <w:highlight w:val="none"/>
          <w:lang w:eastAsia="zh-CN"/>
        </w:rPr>
        <w:t>要求</w:t>
      </w:r>
    </w:p>
    <w:p>
      <w:pPr>
        <w:pStyle w:val="29"/>
        <w:bidi w:val="0"/>
        <w:rPr>
          <w:rFonts w:hint="eastAsia" w:ascii="仿宋" w:hAnsi="仿宋" w:eastAsia="仿宋_GB2312" w:cstheme="minorBidi"/>
          <w:b w:val="0"/>
          <w:color w:val="auto"/>
          <w:kern w:val="2"/>
          <w:sz w:val="32"/>
          <w:szCs w:val="24"/>
          <w:highlight w:val="none"/>
          <w:lang w:val="en-US" w:eastAsia="zh-CN" w:bidi="ar-SA"/>
        </w:rPr>
      </w:pPr>
      <w:r>
        <w:rPr>
          <w:rFonts w:hint="eastAsia" w:ascii="仿宋" w:hAnsi="仿宋" w:cstheme="minorBidi"/>
          <w:b w:val="0"/>
          <w:color w:val="auto"/>
          <w:kern w:val="2"/>
          <w:sz w:val="32"/>
          <w:szCs w:val="24"/>
          <w:highlight w:val="none"/>
          <w:lang w:val="en-US" w:eastAsia="zh-CN" w:bidi="ar-SA"/>
        </w:rPr>
        <w:t>申报机构</w:t>
      </w:r>
      <w:r>
        <w:rPr>
          <w:rFonts w:hint="eastAsia" w:ascii="仿宋" w:hAnsi="仿宋" w:eastAsia="仿宋_GB2312" w:cstheme="minorBidi"/>
          <w:b w:val="0"/>
          <w:color w:val="auto"/>
          <w:kern w:val="2"/>
          <w:sz w:val="32"/>
          <w:szCs w:val="24"/>
          <w:highlight w:val="none"/>
          <w:lang w:val="en-US" w:eastAsia="zh-CN" w:bidi="ar-SA"/>
        </w:rPr>
        <w:t>需在</w:t>
      </w:r>
      <w:r>
        <w:rPr>
          <w:rFonts w:hint="eastAsia" w:ascii="仿宋" w:hAnsi="仿宋" w:eastAsia="仿宋_GB2312" w:cstheme="minorBidi"/>
          <w:b w:val="0"/>
          <w:color w:val="auto"/>
          <w:sz w:val="32"/>
          <w:szCs w:val="24"/>
          <w:highlight w:val="none"/>
          <w:lang w:val="en-US" w:eastAsia="zh-CN"/>
        </w:rPr>
        <w:t>基金遴选结果公示后</w:t>
      </w:r>
      <w:r>
        <w:rPr>
          <w:rFonts w:hint="eastAsia" w:ascii="仿宋" w:hAnsi="仿宋" w:cstheme="minorBidi"/>
          <w:b w:val="0"/>
          <w:color w:val="auto"/>
          <w:kern w:val="2"/>
          <w:sz w:val="32"/>
          <w:szCs w:val="24"/>
          <w:highlight w:val="none"/>
          <w:lang w:val="en-US" w:eastAsia="zh-CN" w:bidi="ar-SA"/>
        </w:rPr>
        <w:t>1年</w:t>
      </w:r>
      <w:r>
        <w:rPr>
          <w:rFonts w:hint="eastAsia" w:ascii="仿宋" w:hAnsi="仿宋" w:eastAsia="仿宋_GB2312" w:cstheme="minorBidi"/>
          <w:b w:val="0"/>
          <w:color w:val="auto"/>
          <w:kern w:val="2"/>
          <w:sz w:val="32"/>
          <w:szCs w:val="24"/>
          <w:highlight w:val="none"/>
          <w:lang w:val="en-US" w:eastAsia="zh-CN" w:bidi="ar-SA"/>
        </w:rPr>
        <w:t>内完成本基金中国证券投资基金业协会备案。</w:t>
      </w:r>
    </w:p>
    <w:p>
      <w:pPr>
        <w:pStyle w:val="21"/>
        <w:bidi w:val="0"/>
        <w:rPr>
          <w:rFonts w:hint="eastAsia"/>
          <w:color w:val="auto"/>
          <w:highlight w:val="none"/>
          <w:lang w:eastAsia="zh-CN"/>
        </w:rPr>
      </w:pPr>
      <w:r>
        <w:rPr>
          <w:rFonts w:hint="eastAsia"/>
          <w:color w:val="auto"/>
          <w:highlight w:val="none"/>
          <w:lang w:val="en-US" w:eastAsia="zh-CN"/>
        </w:rPr>
        <w:t>（三）</w:t>
      </w:r>
      <w:r>
        <w:rPr>
          <w:rFonts w:hint="eastAsia"/>
          <w:color w:val="auto"/>
          <w:highlight w:val="none"/>
          <w:lang w:eastAsia="zh-CN"/>
        </w:rPr>
        <w:t>投资要求</w:t>
      </w:r>
    </w:p>
    <w:p>
      <w:pPr>
        <w:pStyle w:val="29"/>
        <w:bidi w:val="0"/>
        <w:rPr>
          <w:rFonts w:hint="eastAsia"/>
          <w:color w:val="auto"/>
          <w:highlight w:val="none"/>
          <w:lang w:eastAsia="zh-CN"/>
        </w:rPr>
      </w:pPr>
      <w:r>
        <w:rPr>
          <w:rFonts w:hint="eastAsia"/>
          <w:color w:val="auto"/>
          <w:highlight w:val="none"/>
        </w:rPr>
        <w:t>1.投资</w:t>
      </w:r>
      <w:r>
        <w:rPr>
          <w:rFonts w:hint="eastAsia"/>
          <w:color w:val="auto"/>
          <w:highlight w:val="none"/>
          <w:lang w:val="en-US" w:eastAsia="zh-CN"/>
        </w:rPr>
        <w:t>方向</w:t>
      </w:r>
    </w:p>
    <w:p>
      <w:pPr>
        <w:pStyle w:val="23"/>
        <w:bidi w:val="0"/>
        <w:rPr>
          <w:rFonts w:hint="eastAsia" w:eastAsia="仿宋_GB2312"/>
          <w:color w:val="auto"/>
          <w:highlight w:val="none"/>
          <w:lang w:eastAsia="zh-CN"/>
        </w:rPr>
      </w:pPr>
      <w:r>
        <w:rPr>
          <w:rFonts w:hint="eastAsia"/>
          <w:color w:val="auto"/>
          <w:highlight w:val="none"/>
        </w:rPr>
        <w:t>优先投向先进制造业和战略性新兴产业领域、布局成长性突出的瞪羚企业、国家级专精特新“小巨人”等优质市场主体，涵盖高端装备制造、新一代信息技术、新能源、新材料、生物医药等关键领域以及闽清县认定的重点项目。</w:t>
      </w:r>
      <w:r>
        <w:rPr>
          <w:rFonts w:hint="eastAsia"/>
          <w:color w:val="auto"/>
          <w:highlight w:val="none"/>
          <w:lang w:eastAsia="zh-CN"/>
        </w:rPr>
        <w:t>（</w:t>
      </w:r>
      <w:r>
        <w:rPr>
          <w:rFonts w:hint="eastAsia" w:ascii="仿宋" w:hAnsi="仿宋" w:eastAsia="仿宋_GB2312" w:cstheme="minorBidi"/>
          <w:color w:val="auto"/>
          <w:kern w:val="2"/>
          <w:sz w:val="32"/>
          <w:szCs w:val="24"/>
          <w:highlight w:val="none"/>
        </w:rPr>
        <w:t>最终以合伙协议为准</w:t>
      </w:r>
      <w:r>
        <w:rPr>
          <w:rFonts w:hint="eastAsia"/>
          <w:color w:val="auto"/>
          <w:highlight w:val="none"/>
          <w:lang w:eastAsia="zh-CN"/>
        </w:rPr>
        <w:t>）</w:t>
      </w:r>
    </w:p>
    <w:p>
      <w:pPr>
        <w:pStyle w:val="23"/>
        <w:rPr>
          <w:rFonts w:hint="eastAsia"/>
          <w:b/>
          <w:bCs/>
          <w:color w:val="auto"/>
          <w:highlight w:val="none"/>
          <w:lang w:val="en-US" w:eastAsia="zh-CN"/>
        </w:rPr>
      </w:pPr>
      <w:r>
        <w:rPr>
          <w:rFonts w:hint="eastAsia"/>
          <w:b/>
          <w:bCs/>
          <w:color w:val="auto"/>
          <w:highlight w:val="none"/>
          <w:lang w:val="en-US" w:eastAsia="zh-CN"/>
        </w:rPr>
        <w:t>2.投资及退出方式</w:t>
      </w:r>
    </w:p>
    <w:p>
      <w:pPr>
        <w:pStyle w:val="23"/>
        <w:rPr>
          <w:rFonts w:hint="eastAsia" w:ascii="仿宋" w:hAnsi="仿宋" w:eastAsia="仿宋_GB2312" w:cstheme="minorBidi"/>
          <w:color w:val="auto"/>
          <w:szCs w:val="24"/>
          <w:highlight w:val="none"/>
        </w:rPr>
      </w:pPr>
      <w:r>
        <w:rPr>
          <w:rFonts w:hint="eastAsia" w:ascii="仿宋" w:hAnsi="仿宋" w:eastAsia="仿宋_GB2312" w:cstheme="minorBidi"/>
          <w:color w:val="auto"/>
          <w:szCs w:val="24"/>
          <w:highlight w:val="none"/>
        </w:rPr>
        <w:t>基金</w:t>
      </w:r>
      <w:r>
        <w:rPr>
          <w:rFonts w:hint="eastAsia" w:ascii="仿宋" w:eastAsia="仿宋_GB2312"/>
          <w:color w:val="auto"/>
          <w:szCs w:val="24"/>
          <w:highlight w:val="none"/>
          <w:lang w:val="en-US" w:eastAsia="zh-CN"/>
        </w:rPr>
        <w:t>原则上以直投方式开展投资。</w:t>
      </w:r>
      <w:r>
        <w:rPr>
          <w:rFonts w:hint="eastAsia" w:ascii="仿宋" w:hAnsi="仿宋" w:eastAsia="仿宋_GB2312" w:cstheme="minorBidi"/>
          <w:color w:val="auto"/>
          <w:szCs w:val="24"/>
          <w:highlight w:val="none"/>
        </w:rPr>
        <w:t>基金</w:t>
      </w:r>
      <w:r>
        <w:rPr>
          <w:rFonts w:hint="eastAsia" w:cstheme="minorBidi"/>
          <w:color w:val="auto"/>
          <w:szCs w:val="24"/>
          <w:highlight w:val="none"/>
          <w:lang w:val="en-US" w:eastAsia="zh-CN"/>
        </w:rPr>
        <w:t>所投项目</w:t>
      </w:r>
      <w:r>
        <w:rPr>
          <w:rFonts w:hint="eastAsia" w:ascii="仿宋" w:hAnsi="仿宋" w:eastAsia="仿宋_GB2312" w:cstheme="minorBidi"/>
          <w:color w:val="auto"/>
          <w:szCs w:val="24"/>
          <w:highlight w:val="none"/>
        </w:rPr>
        <w:t>退出方式主要包括</w:t>
      </w:r>
      <w:r>
        <w:rPr>
          <w:rFonts w:hint="eastAsia" w:cstheme="minorBidi"/>
          <w:color w:val="auto"/>
          <w:szCs w:val="24"/>
          <w:highlight w:val="none"/>
          <w:lang w:val="en-US" w:eastAsia="zh-CN"/>
        </w:rPr>
        <w:t>IPO</w:t>
      </w:r>
      <w:r>
        <w:rPr>
          <w:rFonts w:hint="eastAsia" w:ascii="仿宋" w:hAnsi="仿宋" w:eastAsia="仿宋_GB2312" w:cstheme="minorBidi"/>
          <w:color w:val="auto"/>
          <w:szCs w:val="24"/>
          <w:highlight w:val="none"/>
        </w:rPr>
        <w:t>出售股票、股权转让、实际控制人回购、上市公司并购以及清算等。</w:t>
      </w:r>
    </w:p>
    <w:p>
      <w:pPr>
        <w:pStyle w:val="29"/>
        <w:bidi w:val="0"/>
        <w:rPr>
          <w:rFonts w:hint="eastAsia" w:cstheme="minorBidi"/>
          <w:color w:val="auto"/>
          <w:highlight w:val="none"/>
          <w:lang w:val="en-US" w:eastAsia="zh-CN"/>
        </w:rPr>
      </w:pPr>
      <w:r>
        <w:rPr>
          <w:rFonts w:hint="eastAsia" w:cstheme="minorBidi"/>
          <w:color w:val="auto"/>
          <w:highlight w:val="none"/>
          <w:lang w:val="en-US" w:eastAsia="zh-CN"/>
        </w:rPr>
        <w:t>3.返投要求</w:t>
      </w:r>
    </w:p>
    <w:p>
      <w:pPr>
        <w:pStyle w:val="10"/>
        <w:rPr>
          <w:rFonts w:hint="eastAsia"/>
          <w:color w:val="auto"/>
          <w:highlight w:val="none"/>
        </w:rPr>
      </w:pPr>
      <w:r>
        <w:rPr>
          <w:rFonts w:hint="eastAsia"/>
          <w:color w:val="auto"/>
          <w:highlight w:val="none"/>
        </w:rPr>
        <w:t>在3年的投资期内，同一基金管理人管理的闽江创投基金对闽清县累计地方投引贡献金额不得低于闽清县产业投资有限公司实际投资金额的2倍，即累计基金返投比例不得低于2倍</w:t>
      </w:r>
      <w:r>
        <w:rPr>
          <w:rFonts w:hint="eastAsia"/>
          <w:color w:val="auto"/>
          <w:highlight w:val="none"/>
          <w:lang w:eastAsia="zh-CN"/>
        </w:rPr>
        <w:t>（</w:t>
      </w:r>
      <w:r>
        <w:rPr>
          <w:rFonts w:hint="eastAsia"/>
          <w:color w:val="auto"/>
          <w:highlight w:val="none"/>
          <w:lang w:val="en-US" w:eastAsia="zh-CN"/>
        </w:rPr>
        <w:t>最终以合伙协议为准</w:t>
      </w:r>
      <w:r>
        <w:rPr>
          <w:rFonts w:hint="eastAsia"/>
          <w:color w:val="auto"/>
          <w:highlight w:val="none"/>
          <w:lang w:eastAsia="zh-CN"/>
        </w:rPr>
        <w:t>）。</w:t>
      </w:r>
    </w:p>
    <w:p>
      <w:pPr>
        <w:pStyle w:val="10"/>
        <w:rPr>
          <w:rFonts w:hint="eastAsia" w:eastAsia="仿宋_GB2312"/>
          <w:color w:val="auto"/>
          <w:highlight w:val="none"/>
          <w:lang w:eastAsia="zh-CN"/>
        </w:rPr>
      </w:pPr>
      <w:r>
        <w:rPr>
          <w:rFonts w:hint="eastAsia"/>
          <w:color w:val="auto"/>
          <w:highlight w:val="none"/>
        </w:rPr>
        <w:t>属于以下情形之一的，可将本基金对地方投引贡献金额计算为基金投资于闽清县企业的投资额，具体包括</w:t>
      </w:r>
      <w:r>
        <w:rPr>
          <w:rFonts w:hint="eastAsia"/>
          <w:color w:val="auto"/>
          <w:highlight w:val="none"/>
          <w:lang w:eastAsia="zh-CN"/>
        </w:rPr>
        <w:t>：</w:t>
      </w:r>
    </w:p>
    <w:p>
      <w:pPr>
        <w:pStyle w:val="10"/>
        <w:numPr>
          <w:ilvl w:val="0"/>
          <w:numId w:val="1"/>
        </w:numPr>
        <w:rPr>
          <w:rFonts w:hint="eastAsia"/>
          <w:color w:val="auto"/>
          <w:highlight w:val="none"/>
          <w:lang w:val="en-US" w:eastAsia="zh-CN"/>
        </w:rPr>
      </w:pPr>
      <w:r>
        <w:rPr>
          <w:rFonts w:hint="eastAsia"/>
          <w:color w:val="auto"/>
          <w:highlight w:val="none"/>
          <w:lang w:val="en-US" w:eastAsia="zh-CN"/>
        </w:rPr>
        <w:t>基金所投闽清县区域外企业将注册地迁往闽清县、被闽清县内企业收购或其研发生产基地及主要功能性子公司落户闽清县的。</w:t>
      </w:r>
    </w:p>
    <w:p>
      <w:pPr>
        <w:pStyle w:val="10"/>
        <w:numPr>
          <w:ilvl w:val="0"/>
          <w:numId w:val="1"/>
        </w:numPr>
        <w:rPr>
          <w:rFonts w:hint="eastAsia"/>
          <w:color w:val="auto"/>
          <w:highlight w:val="none"/>
        </w:rPr>
      </w:pPr>
      <w:r>
        <w:rPr>
          <w:rFonts w:hint="eastAsia"/>
          <w:color w:val="auto"/>
          <w:highlight w:val="none"/>
        </w:rPr>
        <w:t>基金管理人或属于同一实际控制人的管理人在管的其他基金，新增投资闽清县内注册企业或符合上述第（</w:t>
      </w:r>
      <w:r>
        <w:rPr>
          <w:rFonts w:hint="eastAsia"/>
          <w:color w:val="auto"/>
          <w:highlight w:val="none"/>
          <w:lang w:val="en-US" w:eastAsia="zh-CN"/>
        </w:rPr>
        <w:t>1</w:t>
      </w:r>
      <w:r>
        <w:rPr>
          <w:rFonts w:hint="eastAsia"/>
          <w:color w:val="auto"/>
          <w:highlight w:val="none"/>
        </w:rPr>
        <w:t>）款情形的闽清县区域外注册企业</w:t>
      </w:r>
      <w:r>
        <w:rPr>
          <w:rFonts w:hint="eastAsia"/>
          <w:color w:val="auto"/>
          <w:highlight w:val="none"/>
          <w:lang w:eastAsia="zh-CN"/>
        </w:rPr>
        <w:t>。</w:t>
      </w:r>
    </w:p>
    <w:p>
      <w:pPr>
        <w:pStyle w:val="10"/>
        <w:numPr>
          <w:ilvl w:val="0"/>
          <w:numId w:val="1"/>
        </w:numPr>
        <w:rPr>
          <w:rFonts w:hint="eastAsia" w:eastAsia="仿宋_GB2312"/>
          <w:color w:val="auto"/>
          <w:highlight w:val="none"/>
          <w:lang w:val="en-US" w:eastAsia="zh-CN"/>
        </w:rPr>
      </w:pPr>
      <w:r>
        <w:rPr>
          <w:rFonts w:hint="eastAsia"/>
          <w:color w:val="auto"/>
          <w:highlight w:val="none"/>
        </w:rPr>
        <w:t>经基金管理人引入</w:t>
      </w:r>
      <w:r>
        <w:rPr>
          <w:rFonts w:hint="eastAsia"/>
          <w:color w:val="auto"/>
          <w:highlight w:val="none"/>
          <w:lang w:val="en-US" w:eastAsia="zh-CN"/>
        </w:rPr>
        <w:t>闽清</w:t>
      </w:r>
      <w:r>
        <w:rPr>
          <w:rFonts w:hint="eastAsia"/>
          <w:color w:val="auto"/>
          <w:highlight w:val="none"/>
        </w:rPr>
        <w:t>县且为本地创造税收、置业等重大经济效益的闽清县区域外企业，具体认定口径由</w:t>
      </w:r>
      <w:r>
        <w:rPr>
          <w:rFonts w:hint="eastAsia"/>
          <w:color w:val="auto"/>
          <w:highlight w:val="none"/>
          <w:lang w:val="en-US" w:eastAsia="zh-CN"/>
        </w:rPr>
        <w:t>闽清</w:t>
      </w:r>
      <w:r>
        <w:rPr>
          <w:rFonts w:hint="eastAsia"/>
          <w:color w:val="auto"/>
          <w:highlight w:val="none"/>
        </w:rPr>
        <w:t>县政府确定</w:t>
      </w:r>
      <w:r>
        <w:rPr>
          <w:rFonts w:hint="eastAsia"/>
          <w:color w:val="auto"/>
          <w:highlight w:val="none"/>
          <w:lang w:eastAsia="zh-CN"/>
        </w:rPr>
        <w:t>。</w:t>
      </w:r>
    </w:p>
    <w:p>
      <w:pPr>
        <w:pStyle w:val="10"/>
        <w:numPr>
          <w:ilvl w:val="0"/>
          <w:numId w:val="1"/>
        </w:numPr>
        <w:rPr>
          <w:rFonts w:hint="eastAsia"/>
          <w:color w:val="auto"/>
          <w:highlight w:val="none"/>
        </w:rPr>
      </w:pPr>
      <w:r>
        <w:rPr>
          <w:rFonts w:hint="eastAsia"/>
          <w:color w:val="auto"/>
          <w:highlight w:val="none"/>
        </w:rPr>
        <w:t>其他经</w:t>
      </w:r>
      <w:r>
        <w:rPr>
          <w:rFonts w:hint="eastAsia"/>
          <w:color w:val="auto"/>
          <w:highlight w:val="none"/>
          <w:lang w:val="en-US" w:eastAsia="zh-CN"/>
        </w:rPr>
        <w:t>闽清</w:t>
      </w:r>
      <w:r>
        <w:rPr>
          <w:rFonts w:hint="eastAsia"/>
          <w:color w:val="auto"/>
          <w:highlight w:val="none"/>
        </w:rPr>
        <w:t>县政府认定的重大项目投资可多倍计算，具体认定口径由</w:t>
      </w:r>
      <w:r>
        <w:rPr>
          <w:rFonts w:hint="eastAsia"/>
          <w:color w:val="auto"/>
          <w:highlight w:val="none"/>
          <w:lang w:val="en-US" w:eastAsia="zh-CN"/>
        </w:rPr>
        <w:t>闽清</w:t>
      </w:r>
      <w:r>
        <w:rPr>
          <w:rFonts w:hint="eastAsia"/>
          <w:color w:val="auto"/>
          <w:highlight w:val="none"/>
        </w:rPr>
        <w:t>县政府确定</w:t>
      </w:r>
      <w:r>
        <w:rPr>
          <w:rFonts w:hint="eastAsia"/>
          <w:color w:val="auto"/>
          <w:highlight w:val="none"/>
          <w:lang w:eastAsia="zh-CN"/>
        </w:rPr>
        <w:t>。</w:t>
      </w:r>
    </w:p>
    <w:p>
      <w:pPr>
        <w:pStyle w:val="10"/>
        <w:numPr>
          <w:ilvl w:val="0"/>
          <w:numId w:val="1"/>
        </w:numPr>
        <w:rPr>
          <w:rFonts w:hint="eastAsia"/>
          <w:color w:val="auto"/>
          <w:highlight w:val="none"/>
        </w:rPr>
      </w:pPr>
      <w:r>
        <w:rPr>
          <w:rFonts w:hint="eastAsia"/>
          <w:color w:val="auto"/>
          <w:highlight w:val="none"/>
        </w:rPr>
        <w:t>其他经</w:t>
      </w:r>
      <w:r>
        <w:rPr>
          <w:rFonts w:hint="eastAsia"/>
          <w:color w:val="auto"/>
          <w:highlight w:val="none"/>
          <w:lang w:val="en-US" w:eastAsia="zh-CN"/>
        </w:rPr>
        <w:t>闽清</w:t>
      </w:r>
      <w:r>
        <w:rPr>
          <w:rFonts w:hint="eastAsia"/>
          <w:color w:val="auto"/>
          <w:highlight w:val="none"/>
        </w:rPr>
        <w:t>县政府认定的基金未投资但由基金管理人推荐到</w:t>
      </w:r>
      <w:r>
        <w:rPr>
          <w:rFonts w:hint="eastAsia"/>
          <w:color w:val="auto"/>
          <w:highlight w:val="none"/>
          <w:lang w:val="en-US" w:eastAsia="zh-CN"/>
        </w:rPr>
        <w:t>闽清县</w:t>
      </w:r>
      <w:r>
        <w:rPr>
          <w:rFonts w:hint="eastAsia"/>
          <w:color w:val="auto"/>
          <w:highlight w:val="none"/>
        </w:rPr>
        <w:t>落地的闽清县区域外企业，具体认定口径由</w:t>
      </w:r>
      <w:r>
        <w:rPr>
          <w:rFonts w:hint="eastAsia"/>
          <w:color w:val="auto"/>
          <w:highlight w:val="none"/>
          <w:lang w:val="en-US" w:eastAsia="zh-CN"/>
        </w:rPr>
        <w:t>闽清</w:t>
      </w:r>
      <w:r>
        <w:rPr>
          <w:rFonts w:hint="eastAsia"/>
          <w:color w:val="auto"/>
          <w:highlight w:val="none"/>
        </w:rPr>
        <w:t>县政府确定</w:t>
      </w:r>
      <w:r>
        <w:rPr>
          <w:rFonts w:hint="eastAsia"/>
          <w:color w:val="auto"/>
          <w:highlight w:val="none"/>
          <w:lang w:eastAsia="zh-CN"/>
        </w:rPr>
        <w:t>。</w:t>
      </w:r>
    </w:p>
    <w:p>
      <w:pPr>
        <w:pStyle w:val="10"/>
        <w:numPr>
          <w:ilvl w:val="-1"/>
          <w:numId w:val="0"/>
        </w:numPr>
        <w:ind w:firstLine="643"/>
        <w:rPr>
          <w:rFonts w:hint="default"/>
          <w:b w:val="0"/>
          <w:bCs w:val="0"/>
          <w:color w:val="auto"/>
          <w:highlight w:val="none"/>
          <w:lang w:val="en-US" w:eastAsia="zh-CN"/>
        </w:rPr>
      </w:pPr>
      <w:r>
        <w:rPr>
          <w:rFonts w:hint="eastAsia"/>
          <w:b w:val="0"/>
          <w:bCs w:val="0"/>
          <w:color w:val="auto"/>
          <w:highlight w:val="none"/>
          <w:lang w:val="en-US" w:eastAsia="zh-CN"/>
        </w:rPr>
        <w:t>注：以上仅供参考，具体的返投认定计算方式，以最终合伙协议约定为准。</w:t>
      </w:r>
    </w:p>
    <w:p>
      <w:pPr>
        <w:pStyle w:val="29"/>
        <w:bidi w:val="0"/>
        <w:rPr>
          <w:rFonts w:hint="eastAsia"/>
          <w:color w:val="auto"/>
          <w:highlight w:val="none"/>
          <w:lang w:val="en-US" w:eastAsia="zh-CN"/>
        </w:rPr>
      </w:pPr>
      <w:r>
        <w:rPr>
          <w:rFonts w:hint="eastAsia"/>
          <w:color w:val="auto"/>
          <w:highlight w:val="none"/>
          <w:lang w:val="en-US" w:eastAsia="zh-CN"/>
        </w:rPr>
        <w:t>4.投资限制</w:t>
      </w:r>
    </w:p>
    <w:p>
      <w:pPr>
        <w:keepNext w:val="0"/>
        <w:keepLines w:val="0"/>
        <w:pageBreakBefore w:val="0"/>
        <w:widowControl/>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Cs w:val="32"/>
          <w:highlight w:val="none"/>
        </w:rPr>
        <w:t>本基金面向全国对优质企业进行投资，公平前提下，且择优投资于闽清县区域内注册的企业。原则上，本基金不以投资形式控股被投资企业，本基金投资后对所投资企业的持股比例不得超过该企业总股比的30%。投资项目涉及战略性新兴产业、先进制造业的企业及其子公司</w:t>
      </w:r>
      <w:r>
        <w:rPr>
          <w:rFonts w:hint="eastAsia" w:cs="仿宋_GB2312"/>
          <w:color w:val="auto"/>
          <w:szCs w:val="32"/>
          <w:highlight w:val="none"/>
          <w:lang w:eastAsia="zh-CN"/>
        </w:rPr>
        <w:t>。</w:t>
      </w:r>
    </w:p>
    <w:p>
      <w:pPr>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）本基金参与投资上级或本级政府确定的重大项目，可根据项目情况“一事一议”，经</w:t>
      </w:r>
      <w:r>
        <w:rPr>
          <w:rFonts w:hint="eastAsia" w:cs="仿宋_GB2312"/>
          <w:color w:val="auto"/>
          <w:sz w:val="32"/>
          <w:szCs w:val="32"/>
          <w:highlight w:val="none"/>
          <w:lang w:val="en-US" w:eastAsia="zh-CN"/>
        </w:rPr>
        <w:t>闽清</w:t>
      </w:r>
      <w:r>
        <w:rPr>
          <w:rFonts w:hint="eastAsia" w:ascii="仿宋_GB2312" w:hAnsi="仿宋_GB2312" w:eastAsia="仿宋_GB2312" w:cs="仿宋_GB2312"/>
          <w:color w:val="auto"/>
          <w:sz w:val="32"/>
          <w:szCs w:val="32"/>
          <w:highlight w:val="none"/>
        </w:rPr>
        <w:t>县政府同意，可以放宽投资限制</w:t>
      </w:r>
      <w:r>
        <w:rPr>
          <w:rFonts w:hint="eastAsia" w:cs="仿宋_GB2312"/>
          <w:color w:val="auto"/>
          <w:sz w:val="32"/>
          <w:szCs w:val="32"/>
          <w:highlight w:val="none"/>
          <w:lang w:eastAsia="zh-CN"/>
        </w:rPr>
        <w:t>。</w:t>
      </w:r>
    </w:p>
    <w:p>
      <w:pPr>
        <w:pStyle w:val="10"/>
        <w:rPr>
          <w:rFonts w:hint="eastAsia"/>
        </w:rPr>
      </w:pPr>
      <w:r>
        <w:rPr>
          <w:rFonts w:hint="eastAsia"/>
        </w:rPr>
        <w:t>（</w:t>
      </w:r>
      <w:r>
        <w:rPr>
          <w:rFonts w:hint="eastAsia"/>
          <w:lang w:val="en-US" w:eastAsia="zh-CN"/>
        </w:rPr>
        <w:t>3</w:t>
      </w:r>
      <w:r>
        <w:rPr>
          <w:rFonts w:hint="eastAsia"/>
        </w:rPr>
        <w:t>）本基金</w:t>
      </w:r>
      <w:r>
        <w:rPr>
          <w:rFonts w:hint="eastAsia"/>
          <w:lang w:val="en-US" w:eastAsia="zh-CN"/>
        </w:rPr>
        <w:t>不得从事以下业务</w:t>
      </w:r>
      <w:r>
        <w:rPr>
          <w:rFonts w:hint="eastAsia"/>
        </w:rPr>
        <w:t>：</w:t>
      </w:r>
    </w:p>
    <w:p>
      <w:pPr>
        <w:pStyle w:val="23"/>
        <w:bidi w:val="0"/>
        <w:rPr>
          <w:rFonts w:hint="eastAsia"/>
          <w:color w:val="auto"/>
          <w:highlight w:val="none"/>
        </w:rPr>
      </w:pPr>
      <w:r>
        <w:rPr>
          <w:rFonts w:hint="eastAsia"/>
          <w:color w:val="auto"/>
          <w:highlight w:val="none"/>
        </w:rPr>
        <w:t>①投资二级市场股票（上市公司定向增发除外）、期货、房地产、证券投资基金、评级AAA以下的企业债、信托产品、非保本型理财产品、保险计划及其他金融衍生品；</w:t>
      </w:r>
    </w:p>
    <w:p>
      <w:pPr>
        <w:pStyle w:val="23"/>
        <w:bidi w:val="0"/>
        <w:rPr>
          <w:rFonts w:hint="eastAsia"/>
          <w:color w:val="auto"/>
          <w:highlight w:val="none"/>
        </w:rPr>
      </w:pPr>
      <w:r>
        <w:rPr>
          <w:rFonts w:hint="eastAsia"/>
          <w:color w:val="auto"/>
          <w:highlight w:val="none"/>
        </w:rPr>
        <w:t>②向任何第三方提供资金拆借、赞助、捐赠（经批准的公益性捐赠除外）；</w:t>
      </w:r>
    </w:p>
    <w:p>
      <w:pPr>
        <w:pStyle w:val="23"/>
        <w:bidi w:val="0"/>
        <w:rPr>
          <w:rFonts w:hint="eastAsia"/>
          <w:color w:val="auto"/>
          <w:highlight w:val="none"/>
        </w:rPr>
      </w:pPr>
      <w:r>
        <w:rPr>
          <w:rFonts w:hint="eastAsia"/>
          <w:color w:val="auto"/>
          <w:highlight w:val="none"/>
        </w:rPr>
        <w:t>③进行承担无限连带责任的对外投资；</w:t>
      </w:r>
    </w:p>
    <w:p>
      <w:pPr>
        <w:pStyle w:val="23"/>
        <w:bidi w:val="0"/>
        <w:rPr>
          <w:rFonts w:hint="eastAsia"/>
          <w:color w:val="auto"/>
          <w:highlight w:val="none"/>
        </w:rPr>
      </w:pPr>
      <w:r>
        <w:rPr>
          <w:rFonts w:hint="eastAsia"/>
          <w:color w:val="auto"/>
          <w:highlight w:val="none"/>
        </w:rPr>
        <w:t>④吸收或变相吸收存款，以发行信托或集合理财产品的形式募集资金；</w:t>
      </w:r>
    </w:p>
    <w:p>
      <w:pPr>
        <w:pStyle w:val="23"/>
        <w:bidi w:val="0"/>
        <w:rPr>
          <w:rFonts w:hint="eastAsia"/>
          <w:color w:val="auto"/>
          <w:highlight w:val="none"/>
        </w:rPr>
      </w:pPr>
      <w:r>
        <w:rPr>
          <w:rFonts w:hint="eastAsia"/>
          <w:color w:val="auto"/>
          <w:highlight w:val="none"/>
        </w:rPr>
        <w:t>⑤其他法律法规禁止从事的业务</w:t>
      </w:r>
      <w:r>
        <w:rPr>
          <w:rFonts w:hint="eastAsia"/>
          <w:color w:val="auto"/>
          <w:highlight w:val="none"/>
          <w:lang w:eastAsia="zh-CN"/>
        </w:rPr>
        <w:t>。</w:t>
      </w:r>
    </w:p>
    <w:p>
      <w:pPr>
        <w:pStyle w:val="29"/>
        <w:bidi w:val="0"/>
        <w:rPr>
          <w:rFonts w:hint="eastAsia"/>
          <w:color w:val="auto"/>
          <w:highlight w:val="none"/>
        </w:rPr>
      </w:pP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基金</w:t>
      </w:r>
      <w:r>
        <w:rPr>
          <w:rFonts w:hint="eastAsia"/>
          <w:color w:val="auto"/>
          <w:highlight w:val="none"/>
        </w:rPr>
        <w:t>容亏制度</w:t>
      </w:r>
    </w:p>
    <w:p>
      <w:pPr>
        <w:pStyle w:val="23"/>
        <w:bidi w:val="0"/>
        <w:rPr>
          <w:rFonts w:hint="eastAsia"/>
          <w:color w:val="auto"/>
          <w:highlight w:val="none"/>
          <w:lang w:eastAsia="zh-CN"/>
        </w:rPr>
      </w:pPr>
      <w:r>
        <w:rPr>
          <w:rFonts w:hint="eastAsia"/>
          <w:color w:val="auto"/>
          <w:highlight w:val="none"/>
        </w:rPr>
        <w:t>按照“以投促引，尽职免责”的原则，设置最高50%的损失容忍率。在尽职前提下，损失容忍率范围内，不追究投资决策委员会、基金管理人和相关人员责任，开展基金评价或审计时不做负面评价；超出损失容忍率范围的，实行尽职免责。本基金因投资闽清县获得市场知名基金管理机构投资的中小企业（指受托管理国家级基金或社保基金管理机构），发生亏损情形的，在尽职前提下，免除相关责任并不做负面评价</w:t>
      </w:r>
      <w:r>
        <w:rPr>
          <w:rFonts w:hint="eastAsia"/>
          <w:color w:val="auto"/>
          <w:highlight w:val="none"/>
          <w:lang w:eastAsia="zh-CN"/>
        </w:rPr>
        <w:t>。</w:t>
      </w:r>
    </w:p>
    <w:p>
      <w:pPr>
        <w:pStyle w:val="23"/>
        <w:bidi w:val="0"/>
        <w:rPr>
          <w:rFonts w:hint="eastAsia"/>
          <w:color w:val="auto"/>
          <w:highlight w:val="yellow"/>
        </w:rPr>
      </w:pPr>
      <w:r>
        <w:rPr>
          <w:rFonts w:hint="eastAsia"/>
          <w:b w:val="0"/>
          <w:bCs w:val="0"/>
          <w:color w:val="auto"/>
          <w:highlight w:val="none"/>
          <w:lang w:val="en-US" w:eastAsia="zh-CN"/>
        </w:rPr>
        <w:t>注：以最终合伙协议约定为准。</w:t>
      </w:r>
    </w:p>
    <w:p>
      <w:pPr>
        <w:pStyle w:val="27"/>
        <w:bidi w:val="0"/>
        <w:rPr>
          <w:rFonts w:hint="eastAsia"/>
          <w:color w:val="auto"/>
          <w:highlight w:val="none"/>
          <w:lang w:val="en-US" w:eastAsia="zh-CN"/>
        </w:rPr>
      </w:pPr>
      <w:r>
        <w:rPr>
          <w:rFonts w:hint="eastAsia"/>
          <w:color w:val="auto"/>
          <w:highlight w:val="none"/>
          <w:lang w:val="en-US" w:eastAsia="zh-CN"/>
        </w:rPr>
        <w:t>二、管理机构要求</w:t>
      </w:r>
    </w:p>
    <w:p>
      <w:pPr>
        <w:pStyle w:val="21"/>
        <w:bidi w:val="0"/>
        <w:rPr>
          <w:rFonts w:hint="eastAsia"/>
          <w:color w:val="auto"/>
          <w:highlight w:val="none"/>
          <w:lang w:eastAsia="zh-CN"/>
        </w:rPr>
      </w:pPr>
      <w:r>
        <w:rPr>
          <w:rFonts w:hint="eastAsia"/>
          <w:color w:val="auto"/>
          <w:highlight w:val="none"/>
          <w:lang w:eastAsia="zh-CN"/>
        </w:rPr>
        <w:t>（一）管理机构的申报要求</w:t>
      </w:r>
    </w:p>
    <w:p>
      <w:pPr>
        <w:pStyle w:val="29"/>
        <w:bidi w:val="0"/>
        <w:rPr>
          <w:rFonts w:hint="eastAsia"/>
          <w:color w:val="auto"/>
          <w:highlight w:val="none"/>
          <w:lang w:val="en-US" w:eastAsia="zh-CN"/>
        </w:rPr>
      </w:pPr>
      <w:r>
        <w:rPr>
          <w:rFonts w:hint="eastAsia"/>
          <w:color w:val="auto"/>
          <w:highlight w:val="none"/>
          <w:lang w:val="en-US" w:eastAsia="zh-CN"/>
        </w:rPr>
        <w:t>1.基本资质</w:t>
      </w:r>
    </w:p>
    <w:p>
      <w:pPr>
        <w:pStyle w:val="23"/>
        <w:bidi w:val="0"/>
        <w:rPr>
          <w:rFonts w:hint="eastAsia"/>
          <w:color w:val="auto"/>
          <w:highlight w:val="none"/>
        </w:rPr>
      </w:pPr>
      <w:r>
        <w:rPr>
          <w:rFonts w:hint="eastAsia"/>
          <w:color w:val="auto"/>
          <w:highlight w:val="none"/>
        </w:rPr>
        <w:t>（1）在中国大陆依法设立的企业，且已通过中基协基金管理人登记备案满3年以上，且最近3年不存在重大违法违规行为；</w:t>
      </w:r>
    </w:p>
    <w:p>
      <w:pPr>
        <w:pStyle w:val="23"/>
        <w:bidi w:val="0"/>
        <w:rPr>
          <w:rFonts w:hint="eastAsia"/>
          <w:color w:val="auto"/>
          <w:highlight w:val="none"/>
        </w:rPr>
      </w:pPr>
      <w:r>
        <w:rPr>
          <w:rFonts w:hint="eastAsia"/>
          <w:color w:val="auto"/>
          <w:highlight w:val="none"/>
        </w:rPr>
        <w:t>（2）基金管理人应具有稳定的管理团队，拥有不少于5名专业投资人员，其中具有3年以上股权投资或股权投资基金管理工作经验的高级管理人员不少于3名；机构及管理团队主要成员无行政主管机关、司法机关或中基协处罚的不良记录；</w:t>
      </w:r>
    </w:p>
    <w:p>
      <w:pPr>
        <w:pStyle w:val="23"/>
        <w:bidi w:val="0"/>
        <w:rPr>
          <w:rFonts w:hint="eastAsia"/>
          <w:color w:val="auto"/>
          <w:highlight w:val="none"/>
        </w:rPr>
      </w:pPr>
      <w:r>
        <w:rPr>
          <w:rFonts w:hint="eastAsia"/>
          <w:color w:val="auto"/>
          <w:highlight w:val="none"/>
        </w:rPr>
        <w:t>（3）</w:t>
      </w:r>
      <w:r>
        <w:rPr>
          <w:rFonts w:hint="eastAsia"/>
          <w:color w:val="auto"/>
          <w:highlight w:val="none"/>
          <w:lang w:eastAsia="zh-CN"/>
        </w:rPr>
        <w:t>基金管理人至少有3个及以上的股权投资的成功（</w:t>
      </w:r>
      <w:r>
        <w:rPr>
          <w:rFonts w:hint="eastAsia"/>
          <w:color w:val="auto"/>
          <w:highlight w:val="none"/>
          <w:lang w:val="en-US" w:eastAsia="zh-CN"/>
        </w:rPr>
        <w:t>含投出</w:t>
      </w:r>
      <w:r>
        <w:rPr>
          <w:rFonts w:hint="eastAsia"/>
          <w:color w:val="auto"/>
          <w:highlight w:val="none"/>
          <w:lang w:eastAsia="zh-CN"/>
        </w:rPr>
        <w:t>）案例（A股上市的成功案例不得少于1个）</w:t>
      </w:r>
      <w:r>
        <w:rPr>
          <w:rFonts w:hint="eastAsia"/>
          <w:color w:val="auto"/>
          <w:highlight w:val="none"/>
        </w:rPr>
        <w:t>；</w:t>
      </w:r>
    </w:p>
    <w:p>
      <w:pPr>
        <w:pStyle w:val="23"/>
        <w:bidi w:val="0"/>
        <w:rPr>
          <w:rFonts w:hint="eastAsia"/>
          <w:color w:val="auto"/>
          <w:highlight w:val="none"/>
        </w:rPr>
      </w:pPr>
      <w:r>
        <w:rPr>
          <w:rFonts w:hint="eastAsia"/>
          <w:color w:val="auto"/>
          <w:highlight w:val="none"/>
        </w:rPr>
        <w:t>（4）基金管理人治理规范、规制健全、决策流程和内控机制完善，具有成熟健全的投资管理、风险控制、财务管理、项目遴选、投资决策和投后管理机制；</w:t>
      </w:r>
    </w:p>
    <w:p>
      <w:pPr>
        <w:pStyle w:val="23"/>
        <w:bidi w:val="0"/>
        <w:rPr>
          <w:rFonts w:hint="eastAsia"/>
          <w:color w:val="auto"/>
          <w:highlight w:val="none"/>
        </w:rPr>
      </w:pPr>
      <w:r>
        <w:rPr>
          <w:rFonts w:hint="eastAsia"/>
          <w:color w:val="auto"/>
          <w:highlight w:val="none"/>
        </w:rPr>
        <w:t>（5）其他与其业务相适应的软硬件设施等条件</w:t>
      </w:r>
      <w:r>
        <w:rPr>
          <w:rFonts w:hint="eastAsia"/>
          <w:color w:val="auto"/>
          <w:highlight w:val="none"/>
          <w:lang w:eastAsia="zh-CN"/>
        </w:rPr>
        <w:t>。</w:t>
      </w:r>
    </w:p>
    <w:p>
      <w:pPr>
        <w:pStyle w:val="27"/>
        <w:bidi w:val="0"/>
        <w:rPr>
          <w:rFonts w:hint="eastAsia"/>
          <w:color w:val="auto"/>
          <w:highlight w:val="none"/>
          <w:lang w:val="en-US" w:eastAsia="zh-CN"/>
        </w:rPr>
      </w:pPr>
      <w:r>
        <w:rPr>
          <w:rFonts w:hint="eastAsia"/>
          <w:color w:val="auto"/>
          <w:highlight w:val="none"/>
          <w:lang w:val="en-US" w:eastAsia="zh-CN"/>
        </w:rPr>
        <w:t>三、托管机构要求</w:t>
      </w:r>
    </w:p>
    <w:p>
      <w:pPr>
        <w:pStyle w:val="21"/>
        <w:bidi w:val="0"/>
        <w:rPr>
          <w:rFonts w:hint="eastAsia"/>
          <w:color w:val="auto"/>
          <w:highlight w:val="none"/>
          <w:lang w:eastAsia="zh-CN"/>
        </w:rPr>
      </w:pPr>
      <w:r>
        <w:rPr>
          <w:rFonts w:hint="eastAsia"/>
          <w:color w:val="auto"/>
          <w:highlight w:val="none"/>
          <w:lang w:eastAsia="zh-CN"/>
        </w:rPr>
        <w:t>（一）</w:t>
      </w:r>
      <w:r>
        <w:rPr>
          <w:rFonts w:hint="eastAsia"/>
          <w:color w:val="auto"/>
          <w:highlight w:val="none"/>
          <w:lang w:val="en-US" w:eastAsia="zh-CN"/>
        </w:rPr>
        <w:t>托管</w:t>
      </w:r>
      <w:r>
        <w:rPr>
          <w:rFonts w:hint="eastAsia"/>
          <w:color w:val="auto"/>
          <w:highlight w:val="none"/>
          <w:lang w:eastAsia="zh-CN"/>
        </w:rPr>
        <w:t>机构的申报要求</w:t>
      </w:r>
    </w:p>
    <w:p>
      <w:pPr>
        <w:pStyle w:val="29"/>
        <w:bidi w:val="0"/>
        <w:rPr>
          <w:rFonts w:hint="eastAsia"/>
          <w:color w:val="auto"/>
          <w:highlight w:val="none"/>
          <w:lang w:val="en-US" w:eastAsia="zh-CN"/>
        </w:rPr>
      </w:pPr>
      <w:r>
        <w:rPr>
          <w:rFonts w:hint="eastAsia"/>
          <w:color w:val="auto"/>
          <w:highlight w:val="none"/>
          <w:lang w:val="en-US" w:eastAsia="zh-CN"/>
        </w:rPr>
        <w:t>1.基本资质</w:t>
      </w:r>
    </w:p>
    <w:p>
      <w:pPr>
        <w:pStyle w:val="23"/>
        <w:bidi w:val="0"/>
        <w:rPr>
          <w:rFonts w:hint="eastAsia"/>
          <w:color w:val="auto"/>
          <w:highlight w:val="none"/>
        </w:rPr>
      </w:pPr>
      <w:r>
        <w:rPr>
          <w:rFonts w:hint="eastAsia"/>
          <w:color w:val="auto"/>
          <w:highlight w:val="none"/>
        </w:rPr>
        <w:t>（1）基金托管银行必须是经中国证券监督管理委员会和国家金融监督管理总局核准的具有基金托管资格的商业银行；</w:t>
      </w:r>
    </w:p>
    <w:p>
      <w:pPr>
        <w:pStyle w:val="23"/>
        <w:bidi w:val="0"/>
        <w:rPr>
          <w:rFonts w:hint="eastAsia"/>
          <w:color w:val="auto"/>
          <w:highlight w:val="none"/>
        </w:rPr>
      </w:pPr>
      <w:r>
        <w:rPr>
          <w:rFonts w:hint="eastAsia"/>
          <w:color w:val="auto"/>
          <w:highlight w:val="none"/>
        </w:rPr>
        <w:t>（2）在国内注册登记设立</w:t>
      </w:r>
      <w:r>
        <w:rPr>
          <w:rFonts w:hint="eastAsia"/>
          <w:color w:val="auto"/>
          <w:highlight w:val="none"/>
          <w:lang w:eastAsia="zh-CN"/>
        </w:rPr>
        <w:t>，</w:t>
      </w:r>
      <w:r>
        <w:rPr>
          <w:rFonts w:hint="eastAsia"/>
          <w:color w:val="auto"/>
          <w:highlight w:val="none"/>
        </w:rPr>
        <w:t>依法开展经营活动，具有独立承担民事责任的能力，依法有效存续（须提供银行的营业执照复印件），且具有独立法人资格或其所属的分支机构</w:t>
      </w:r>
      <w:r>
        <w:rPr>
          <w:rFonts w:hint="eastAsia"/>
          <w:color w:val="auto"/>
          <w:highlight w:val="none"/>
          <w:lang w:eastAsia="zh-CN"/>
        </w:rPr>
        <w:t>（</w:t>
      </w:r>
      <w:r>
        <w:rPr>
          <w:rFonts w:hint="eastAsia"/>
          <w:color w:val="auto"/>
          <w:highlight w:val="none"/>
        </w:rPr>
        <w:t>分公司</w:t>
      </w:r>
      <w:r>
        <w:rPr>
          <w:rFonts w:hint="eastAsia"/>
          <w:color w:val="auto"/>
          <w:highlight w:val="none"/>
          <w:lang w:eastAsia="zh-CN"/>
        </w:rPr>
        <w:t>、</w:t>
      </w:r>
      <w:r>
        <w:rPr>
          <w:rFonts w:hint="eastAsia"/>
          <w:color w:val="auto"/>
          <w:highlight w:val="none"/>
          <w:lang w:val="en-US" w:eastAsia="zh-CN"/>
        </w:rPr>
        <w:t>分行）</w:t>
      </w:r>
      <w:r>
        <w:rPr>
          <w:rFonts w:hint="eastAsia"/>
          <w:color w:val="auto"/>
          <w:highlight w:val="none"/>
        </w:rPr>
        <w:t>，同一法人单位只允许一家参加投标；</w:t>
      </w:r>
    </w:p>
    <w:p>
      <w:pPr>
        <w:pStyle w:val="23"/>
        <w:bidi w:val="0"/>
        <w:rPr>
          <w:rFonts w:hint="eastAsia"/>
          <w:color w:val="auto"/>
          <w:highlight w:val="none"/>
        </w:rPr>
      </w:pPr>
      <w:r>
        <w:rPr>
          <w:rFonts w:hint="eastAsia"/>
          <w:color w:val="auto"/>
          <w:highlight w:val="none"/>
        </w:rPr>
        <w:t>（3）设有专门的基金托管部门和人员，能派出专人负责相关托管业务，能做到及时处理问题和提出解决方案；</w:t>
      </w:r>
    </w:p>
    <w:p>
      <w:pPr>
        <w:pStyle w:val="23"/>
        <w:bidi w:val="0"/>
        <w:rPr>
          <w:rFonts w:hint="eastAsia"/>
          <w:color w:val="auto"/>
          <w:highlight w:val="none"/>
        </w:rPr>
      </w:pPr>
      <w:r>
        <w:rPr>
          <w:rFonts w:hint="eastAsia"/>
          <w:color w:val="auto"/>
          <w:highlight w:val="none"/>
        </w:rPr>
        <w:t>（4）具有履行托管协议所必需的设备、系统和专业技术能力，有完善的基金托管、稽核监控和风险控制制度；</w:t>
      </w:r>
    </w:p>
    <w:p>
      <w:pPr>
        <w:pStyle w:val="23"/>
        <w:bidi w:val="0"/>
        <w:rPr>
          <w:rFonts w:hint="eastAsia"/>
          <w:color w:val="auto"/>
          <w:highlight w:val="none"/>
        </w:rPr>
      </w:pPr>
      <w:r>
        <w:rPr>
          <w:rFonts w:hint="eastAsia"/>
          <w:color w:val="auto"/>
          <w:highlight w:val="none"/>
        </w:rPr>
        <w:t>（5）在基金托管业务方面最近3年无重大过失以及行政主管部门或司法机关处罚的不良记录</w:t>
      </w:r>
      <w:r>
        <w:rPr>
          <w:rFonts w:hint="eastAsia"/>
          <w:color w:val="auto"/>
          <w:highlight w:val="none"/>
          <w:lang w:eastAsia="zh-CN"/>
        </w:rPr>
        <w:t>。</w:t>
      </w:r>
    </w:p>
    <w:p>
      <w:pPr>
        <w:pStyle w:val="23"/>
        <w:bidi w:val="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）其他与其业务相适应的软硬件设施等条件</w:t>
      </w:r>
      <w:r>
        <w:rPr>
          <w:rFonts w:hint="eastAsia"/>
          <w:color w:val="auto"/>
          <w:highlight w:val="none"/>
          <w:lang w:eastAsia="zh-CN"/>
        </w:rPr>
        <w:t>。</w:t>
      </w:r>
    </w:p>
    <w:p>
      <w:pPr>
        <w:pStyle w:val="3"/>
        <w:pageBreakBefore w:val="0"/>
        <w:kinsoku/>
        <w:wordWrap/>
        <w:topLinePunct w:val="0"/>
        <w:autoSpaceDE/>
        <w:autoSpaceDN/>
        <w:bidi w:val="0"/>
        <w:adjustRightInd w:val="0"/>
        <w:snapToGrid w:val="0"/>
        <w:spacing w:line="560" w:lineRule="exact"/>
        <w:textAlignment w:val="auto"/>
        <w:rPr>
          <w:rFonts w:hint="eastAsia" w:ascii="黑体" w:hAnsi="黑体" w:eastAsia="黑体" w:cs="黑体"/>
          <w:color w:val="auto"/>
          <w:szCs w:val="32"/>
          <w:highlight w:val="none"/>
          <w:lang w:eastAsia="zh-CN"/>
        </w:rPr>
      </w:pPr>
      <w:r>
        <w:rPr>
          <w:rFonts w:hint="eastAsia" w:ascii="黑体" w:hAnsi="黑体" w:eastAsia="黑体" w:cs="黑体"/>
          <w:color w:val="auto"/>
          <w:szCs w:val="32"/>
          <w:highlight w:val="none"/>
          <w:lang w:val="en-US" w:eastAsia="zh-CN"/>
        </w:rPr>
        <w:t>四、</w:t>
      </w:r>
      <w:r>
        <w:rPr>
          <w:rFonts w:hint="eastAsia" w:ascii="黑体" w:hAnsi="黑体" w:eastAsia="黑体" w:cs="黑体"/>
          <w:color w:val="auto"/>
          <w:szCs w:val="32"/>
          <w:highlight w:val="none"/>
          <w:lang w:eastAsia="zh-CN"/>
        </w:rPr>
        <w:t>特别说明</w:t>
      </w:r>
    </w:p>
    <w:p>
      <w:pPr>
        <w:overflowPunct w:val="0"/>
        <w:topLinePunct/>
        <w:snapToGrid w:val="0"/>
        <w:spacing w:line="560" w:lineRule="exact"/>
        <w:ind w:firstLine="640" w:firstLineChars="200"/>
        <w:rPr>
          <w:rFonts w:hint="eastAsia" w:cs="仿宋_GB2312"/>
          <w:color w:val="auto"/>
          <w:szCs w:val="40"/>
          <w:highlight w:val="none"/>
        </w:rPr>
      </w:pPr>
      <w:r>
        <w:rPr>
          <w:rFonts w:hint="eastAsia" w:cs="仿宋_GB2312"/>
          <w:color w:val="auto"/>
          <w:sz w:val="32"/>
          <w:szCs w:val="40"/>
          <w:highlight w:val="none"/>
          <w:lang w:val="en-US" w:eastAsia="zh-CN"/>
        </w:rPr>
        <w:t>1.</w:t>
      </w:r>
      <w:r>
        <w:rPr>
          <w:rFonts w:hint="eastAsia" w:cs="仿宋_GB2312"/>
          <w:color w:val="auto"/>
          <w:szCs w:val="40"/>
          <w:highlight w:val="none"/>
        </w:rPr>
        <w:t>本项目只接受一家基金管理</w:t>
      </w:r>
      <w:r>
        <w:rPr>
          <w:rFonts w:hint="eastAsia" w:cs="仿宋_GB2312"/>
          <w:color w:val="auto"/>
          <w:szCs w:val="40"/>
          <w:highlight w:val="none"/>
          <w:lang w:val="en-US" w:eastAsia="zh-CN"/>
        </w:rPr>
        <w:t>机构与一家</w:t>
      </w:r>
      <w:r>
        <w:rPr>
          <w:rFonts w:hint="eastAsia" w:cs="仿宋_GB2312"/>
          <w:color w:val="auto"/>
          <w:szCs w:val="40"/>
          <w:highlight w:val="none"/>
        </w:rPr>
        <w:t>银行托管机构</w:t>
      </w:r>
      <w:r>
        <w:rPr>
          <w:rFonts w:hint="eastAsia" w:cs="仿宋_GB2312"/>
          <w:color w:val="auto"/>
          <w:szCs w:val="40"/>
          <w:highlight w:val="none"/>
          <w:lang w:val="en-US" w:eastAsia="zh-CN"/>
        </w:rPr>
        <w:t>的</w:t>
      </w:r>
      <w:r>
        <w:rPr>
          <w:rFonts w:hint="eastAsia" w:cs="仿宋_GB2312"/>
          <w:color w:val="auto"/>
          <w:szCs w:val="40"/>
          <w:highlight w:val="none"/>
        </w:rPr>
        <w:t>联合体</w:t>
      </w:r>
      <w:r>
        <w:rPr>
          <w:rFonts w:hint="eastAsia" w:cs="仿宋_GB2312"/>
          <w:color w:val="auto"/>
          <w:szCs w:val="40"/>
          <w:highlight w:val="none"/>
          <w:lang w:val="en-US" w:eastAsia="zh-CN"/>
        </w:rPr>
        <w:t>申报</w:t>
      </w:r>
      <w:r>
        <w:rPr>
          <w:rFonts w:hint="eastAsia" w:cs="仿宋_GB2312"/>
          <w:color w:val="auto"/>
          <w:szCs w:val="40"/>
          <w:highlight w:val="none"/>
        </w:rPr>
        <w:t>。不允许同一法人单位及分支机构</w:t>
      </w:r>
      <w:r>
        <w:rPr>
          <w:rFonts w:hint="eastAsia" w:cs="仿宋_GB2312"/>
          <w:color w:val="auto"/>
          <w:szCs w:val="40"/>
          <w:highlight w:val="none"/>
          <w:lang w:eastAsia="zh-CN"/>
        </w:rPr>
        <w:t>（</w:t>
      </w:r>
      <w:r>
        <w:rPr>
          <w:rFonts w:hint="eastAsia" w:cs="仿宋_GB2312"/>
          <w:color w:val="auto"/>
          <w:szCs w:val="40"/>
          <w:highlight w:val="none"/>
        </w:rPr>
        <w:t>分公司</w:t>
      </w:r>
      <w:r>
        <w:rPr>
          <w:rFonts w:hint="eastAsia" w:cs="仿宋_GB2312"/>
          <w:color w:val="auto"/>
          <w:szCs w:val="40"/>
          <w:highlight w:val="none"/>
          <w:lang w:eastAsia="zh-CN"/>
        </w:rPr>
        <w:t>）</w:t>
      </w:r>
      <w:r>
        <w:rPr>
          <w:rFonts w:hint="eastAsia" w:cs="仿宋_GB2312"/>
          <w:color w:val="auto"/>
          <w:szCs w:val="40"/>
          <w:highlight w:val="none"/>
        </w:rPr>
        <w:t>的</w:t>
      </w:r>
      <w:r>
        <w:rPr>
          <w:rFonts w:hint="eastAsia" w:cs="仿宋_GB2312"/>
          <w:color w:val="auto"/>
          <w:szCs w:val="40"/>
          <w:highlight w:val="none"/>
          <w:lang w:val="en-US" w:eastAsia="zh-CN"/>
        </w:rPr>
        <w:t>申报机构</w:t>
      </w:r>
      <w:r>
        <w:rPr>
          <w:rFonts w:hint="eastAsia" w:cs="仿宋_GB2312"/>
          <w:color w:val="auto"/>
          <w:szCs w:val="40"/>
          <w:highlight w:val="none"/>
        </w:rPr>
        <w:t>参加</w:t>
      </w:r>
      <w:r>
        <w:rPr>
          <w:rFonts w:hint="eastAsia" w:cs="仿宋_GB2312"/>
          <w:color w:val="auto"/>
          <w:szCs w:val="40"/>
          <w:highlight w:val="none"/>
          <w:lang w:eastAsia="zh-CN"/>
        </w:rPr>
        <w:t>两个或</w:t>
      </w:r>
      <w:r>
        <w:rPr>
          <w:rFonts w:hint="eastAsia" w:cs="仿宋_GB2312"/>
          <w:color w:val="auto"/>
          <w:szCs w:val="40"/>
          <w:highlight w:val="none"/>
        </w:rPr>
        <w:t>以上联合体</w:t>
      </w:r>
      <w:r>
        <w:rPr>
          <w:rFonts w:hint="eastAsia" w:cs="仿宋_GB2312"/>
          <w:color w:val="auto"/>
          <w:szCs w:val="40"/>
          <w:highlight w:val="none"/>
          <w:lang w:val="en-US" w:eastAsia="zh-CN"/>
        </w:rPr>
        <w:t>申报</w:t>
      </w:r>
      <w:r>
        <w:rPr>
          <w:rFonts w:hint="eastAsia" w:cs="仿宋_GB2312"/>
          <w:color w:val="auto"/>
          <w:szCs w:val="40"/>
          <w:highlight w:val="none"/>
        </w:rPr>
        <w:t>。</w:t>
      </w:r>
    </w:p>
    <w:p>
      <w:pPr>
        <w:overflowPunct w:val="0"/>
        <w:topLinePunct/>
        <w:snapToGrid w:val="0"/>
        <w:spacing w:line="560" w:lineRule="exact"/>
        <w:ind w:firstLine="640" w:firstLineChars="200"/>
        <w:rPr>
          <w:rFonts w:hint="eastAsia"/>
          <w:lang w:val="en-US" w:eastAsia="zh-CN"/>
        </w:rPr>
      </w:pPr>
      <w:r>
        <w:rPr>
          <w:rFonts w:hint="eastAsia" w:cs="仿宋_GB2312"/>
          <w:color w:val="auto"/>
          <w:sz w:val="32"/>
          <w:szCs w:val="40"/>
          <w:highlight w:val="none"/>
          <w:lang w:val="en-US" w:eastAsia="zh-CN"/>
        </w:rPr>
        <w:t>2.同一基金管理机构、基金管理机构负责人为同一人或者存在控股关系的不同机构限申报一个基金设立方案。</w:t>
      </w:r>
    </w:p>
    <w:p>
      <w:pPr>
        <w:overflowPunct w:val="0"/>
        <w:topLinePunct/>
        <w:snapToGrid w:val="0"/>
        <w:spacing w:line="560" w:lineRule="exact"/>
        <w:ind w:firstLine="640" w:firstLineChars="200"/>
        <w:rPr>
          <w:rFonts w:hint="eastAsia" w:cs="仿宋_GB2312"/>
          <w:color w:val="auto"/>
          <w:sz w:val="32"/>
          <w:szCs w:val="40"/>
          <w:highlight w:val="none"/>
          <w:lang w:val="en-US" w:eastAsia="zh-CN"/>
        </w:rPr>
      </w:pPr>
      <w:r>
        <w:rPr>
          <w:rFonts w:hint="eastAsia" w:cs="仿宋_GB2312"/>
          <w:color w:val="auto"/>
          <w:sz w:val="32"/>
          <w:szCs w:val="40"/>
          <w:highlight w:val="none"/>
          <w:lang w:val="en-US" w:eastAsia="zh-CN"/>
        </w:rPr>
        <w:t>3.申报材料提交后原则上不能再变更申报材料，闽清县产业投资有限公司统一通知的除外。在征集期间，申报材料相关信息发生重大变更的，申报机构应及时告知。</w:t>
      </w:r>
    </w:p>
    <w:p>
      <w:pPr>
        <w:overflowPunct w:val="0"/>
        <w:topLinePunct/>
        <w:snapToGrid w:val="0"/>
        <w:spacing w:line="560" w:lineRule="exact"/>
        <w:ind w:firstLine="640" w:firstLineChars="200"/>
        <w:rPr>
          <w:rFonts w:hint="eastAsia" w:cs="仿宋_GB2312"/>
          <w:color w:val="auto"/>
          <w:sz w:val="32"/>
          <w:szCs w:val="40"/>
          <w:highlight w:val="none"/>
          <w:lang w:val="en-US" w:eastAsia="zh-CN"/>
        </w:rPr>
      </w:pPr>
      <w:r>
        <w:rPr>
          <w:rFonts w:hint="eastAsia" w:cs="仿宋_GB2312"/>
          <w:color w:val="auto"/>
          <w:sz w:val="32"/>
          <w:szCs w:val="40"/>
          <w:highlight w:val="none"/>
          <w:lang w:val="en-US" w:eastAsia="zh-CN"/>
        </w:rPr>
        <w:t>4.申报机构就申报材料的合法性、真实性、有效性、一致性、完整性承担法律责任。</w:t>
      </w:r>
    </w:p>
    <w:p>
      <w:pPr>
        <w:overflowPunct w:val="0"/>
        <w:topLinePunct/>
        <w:snapToGrid w:val="0"/>
        <w:spacing w:line="560" w:lineRule="exact"/>
        <w:ind w:firstLine="640" w:firstLineChars="200"/>
        <w:rPr>
          <w:rFonts w:hint="eastAsia" w:cs="仿宋_GB2312"/>
          <w:color w:val="auto"/>
          <w:sz w:val="32"/>
          <w:szCs w:val="40"/>
          <w:highlight w:val="none"/>
          <w:lang w:val="en-US" w:eastAsia="zh-CN"/>
        </w:rPr>
      </w:pPr>
      <w:r>
        <w:rPr>
          <w:rFonts w:hint="eastAsia" w:cs="仿宋_GB2312"/>
          <w:color w:val="auto"/>
          <w:sz w:val="32"/>
          <w:szCs w:val="40"/>
          <w:highlight w:val="none"/>
          <w:lang w:val="en-US" w:eastAsia="zh-CN"/>
        </w:rPr>
        <w:t>5.申报方案及相关条款经协商后不能符合相关规定要求的，视为主动放弃申报。</w:t>
      </w:r>
    </w:p>
    <w:p>
      <w:pPr>
        <w:pStyle w:val="10"/>
        <w:rPr>
          <w:rFonts w:hint="eastAsia"/>
          <w:lang w:val="en-US" w:eastAsia="zh-CN"/>
        </w:rPr>
      </w:pPr>
    </w:p>
    <w:p>
      <w:pPr>
        <w:pStyle w:val="23"/>
        <w:bidi w:val="0"/>
        <w:rPr>
          <w:rFonts w:hint="eastAsia" w:eastAsia="仿宋_GB2312"/>
          <w:color w:val="auto"/>
          <w:highlight w:val="none"/>
          <w:lang w:eastAsia="zh-CN"/>
        </w:rPr>
      </w:pPr>
      <w:r>
        <w:rPr>
          <w:rFonts w:hint="eastAsia"/>
          <w:color w:val="auto"/>
          <w:highlight w:val="none"/>
        </w:rPr>
        <w:t>附件：1.合规自评表</w:t>
      </w:r>
      <w:r>
        <w:rPr>
          <w:rFonts w:hint="eastAsia"/>
          <w:color w:val="auto"/>
          <w:highlight w:val="none"/>
          <w:lang w:eastAsia="zh-CN"/>
        </w:rPr>
        <w:t>（</w:t>
      </w:r>
      <w:r>
        <w:rPr>
          <w:rFonts w:hint="eastAsia"/>
          <w:color w:val="auto"/>
          <w:highlight w:val="none"/>
          <w:lang w:val="en-US" w:eastAsia="zh-CN"/>
        </w:rPr>
        <w:t>管理机构</w:t>
      </w:r>
      <w:r>
        <w:rPr>
          <w:rFonts w:hint="eastAsia"/>
          <w:color w:val="auto"/>
          <w:highlight w:val="none"/>
          <w:lang w:eastAsia="zh-CN"/>
        </w:rPr>
        <w:t>）</w:t>
      </w:r>
    </w:p>
    <w:p>
      <w:pPr>
        <w:pStyle w:val="23"/>
        <w:bidi w:val="0"/>
        <w:rPr>
          <w:color w:val="auto"/>
          <w:highlight w:val="none"/>
        </w:rPr>
      </w:pPr>
      <w:r>
        <w:rPr>
          <w:rFonts w:hint="eastAsia"/>
          <w:color w:val="auto"/>
          <w:highlight w:val="none"/>
        </w:rPr>
        <w:t xml:space="preserve">      2.基金设立方案</w:t>
      </w:r>
      <w:r>
        <w:rPr>
          <w:rFonts w:hint="eastAsia"/>
          <w:color w:val="auto"/>
          <w:highlight w:val="none"/>
          <w:lang w:eastAsia="zh-CN"/>
        </w:rPr>
        <w:t>（</w:t>
      </w:r>
      <w:r>
        <w:rPr>
          <w:rFonts w:hint="eastAsia"/>
          <w:color w:val="auto"/>
          <w:highlight w:val="none"/>
          <w:lang w:val="en-US" w:eastAsia="zh-CN"/>
        </w:rPr>
        <w:t>管理机构</w:t>
      </w:r>
      <w:r>
        <w:rPr>
          <w:rFonts w:hint="eastAsia"/>
          <w:color w:val="auto"/>
          <w:highlight w:val="none"/>
          <w:lang w:eastAsia="zh-CN"/>
        </w:rPr>
        <w:t>）</w:t>
      </w:r>
    </w:p>
    <w:p>
      <w:pPr>
        <w:pStyle w:val="23"/>
        <w:numPr>
          <w:ilvl w:val="0"/>
          <w:numId w:val="0"/>
        </w:numPr>
        <w:bidi w:val="0"/>
        <w:ind w:left="1600" w:leftChars="0" w:firstLine="0" w:firstLineChars="0"/>
        <w:rPr>
          <w:rFonts w:hint="eastAsia"/>
          <w:color w:val="auto"/>
          <w:highlight w:val="none"/>
        </w:rPr>
      </w:pPr>
      <w:r>
        <w:rPr>
          <w:rFonts w:hint="eastAsia" w:ascii="仿宋" w:hAnsi="仿宋" w:eastAsia="仿宋_GB2312" w:cstheme="minorBidi"/>
          <w:color w:val="auto"/>
          <w:kern w:val="2"/>
          <w:sz w:val="32"/>
          <w:szCs w:val="24"/>
          <w:highlight w:val="none"/>
          <w:lang w:val="en-US" w:eastAsia="zh-CN" w:bidi="ar-SA"/>
        </w:rPr>
        <w:t>3.</w:t>
      </w:r>
      <w:r>
        <w:rPr>
          <w:rFonts w:hint="eastAsia"/>
          <w:color w:val="auto"/>
          <w:highlight w:val="none"/>
        </w:rPr>
        <w:t>申报机构承诺函</w:t>
      </w:r>
      <w:r>
        <w:rPr>
          <w:rFonts w:hint="eastAsia"/>
          <w:color w:val="auto"/>
          <w:highlight w:val="none"/>
          <w:lang w:eastAsia="zh-CN"/>
        </w:rPr>
        <w:t>（</w:t>
      </w:r>
      <w:r>
        <w:rPr>
          <w:rFonts w:hint="eastAsia"/>
          <w:color w:val="auto"/>
          <w:highlight w:val="none"/>
          <w:lang w:val="en-US" w:eastAsia="zh-CN"/>
        </w:rPr>
        <w:t>管理机构</w:t>
      </w:r>
      <w:r>
        <w:rPr>
          <w:rFonts w:hint="eastAsia"/>
          <w:color w:val="auto"/>
          <w:highlight w:val="none"/>
          <w:lang w:eastAsia="zh-CN"/>
        </w:rPr>
        <w:t>）</w:t>
      </w:r>
    </w:p>
    <w:p>
      <w:pPr>
        <w:pStyle w:val="23"/>
        <w:numPr>
          <w:ilvl w:val="0"/>
          <w:numId w:val="0"/>
        </w:numPr>
        <w:bidi w:val="0"/>
        <w:ind w:left="1600" w:leftChars="0" w:firstLine="0" w:firstLineChars="0"/>
        <w:rPr>
          <w:rFonts w:hint="eastAsia"/>
          <w:color w:val="auto"/>
          <w:highlight w:val="none"/>
        </w:rPr>
      </w:pPr>
      <w:r>
        <w:rPr>
          <w:rFonts w:hint="eastAsia" w:ascii="仿宋" w:hAnsi="仿宋" w:eastAsia="仿宋_GB2312" w:cstheme="minorBidi"/>
          <w:color w:val="auto"/>
          <w:kern w:val="2"/>
          <w:sz w:val="32"/>
          <w:szCs w:val="24"/>
          <w:highlight w:val="none"/>
          <w:lang w:val="en-US" w:eastAsia="zh-CN" w:bidi="ar-SA"/>
        </w:rPr>
        <w:t>4.</w:t>
      </w:r>
      <w:r>
        <w:rPr>
          <w:rFonts w:hint="eastAsia"/>
          <w:color w:val="auto"/>
          <w:highlight w:val="none"/>
        </w:rPr>
        <w:t>申报机构填报附表</w:t>
      </w:r>
      <w:r>
        <w:rPr>
          <w:rFonts w:hint="eastAsia"/>
          <w:color w:val="auto"/>
          <w:highlight w:val="none"/>
          <w:lang w:eastAsia="zh-CN"/>
        </w:rPr>
        <w:t>（</w:t>
      </w:r>
      <w:r>
        <w:rPr>
          <w:rFonts w:hint="eastAsia"/>
          <w:color w:val="auto"/>
          <w:highlight w:val="none"/>
          <w:lang w:val="en-US" w:eastAsia="zh-CN"/>
        </w:rPr>
        <w:t>管理机构</w:t>
      </w:r>
      <w:r>
        <w:rPr>
          <w:rFonts w:hint="eastAsia"/>
          <w:color w:val="auto"/>
          <w:highlight w:val="none"/>
          <w:lang w:eastAsia="zh-CN"/>
        </w:rPr>
        <w:t>）</w:t>
      </w:r>
    </w:p>
    <w:p>
      <w:pPr>
        <w:pStyle w:val="23"/>
        <w:numPr>
          <w:ilvl w:val="0"/>
          <w:numId w:val="0"/>
        </w:numPr>
        <w:ind w:left="1600" w:firstLine="0" w:firstLineChars="0"/>
        <w:rPr>
          <w:rFonts w:hint="eastAsia"/>
          <w:color w:val="auto"/>
          <w:highlight w:val="none"/>
          <w:lang w:val="en-US" w:eastAsia="zh-CN"/>
        </w:rPr>
      </w:pPr>
      <w:r>
        <w:rPr>
          <w:rFonts w:hint="eastAsia"/>
          <w:color w:val="auto"/>
          <w:highlight w:val="none"/>
          <w:lang w:val="en-US" w:eastAsia="zh-CN"/>
        </w:rPr>
        <w:t>5.联合体协议书（管理机构及托管机构）</w:t>
      </w:r>
    </w:p>
    <w:p>
      <w:pPr>
        <w:pStyle w:val="23"/>
        <w:numPr>
          <w:ilvl w:val="0"/>
          <w:numId w:val="0"/>
        </w:numPr>
        <w:ind w:left="1600" w:firstLine="0" w:firstLineChars="0"/>
        <w:rPr>
          <w:rFonts w:hint="default"/>
          <w:color w:val="auto"/>
          <w:highlight w:val="none"/>
          <w:lang w:val="en-US" w:eastAsia="zh-CN"/>
        </w:rPr>
      </w:pPr>
      <w:r>
        <w:rPr>
          <w:rFonts w:hint="eastAsia"/>
          <w:color w:val="auto"/>
          <w:highlight w:val="none"/>
          <w:lang w:val="en-US" w:eastAsia="zh-CN"/>
        </w:rPr>
        <w:t>6.托管机构申报表（托管机构）</w:t>
      </w:r>
    </w:p>
    <w:p>
      <w:pPr>
        <w:pStyle w:val="23"/>
        <w:numPr>
          <w:ilvl w:val="0"/>
          <w:numId w:val="0"/>
        </w:numPr>
        <w:ind w:left="1600" w:firstLine="0" w:firstLineChars="0"/>
        <w:rPr>
          <w:rFonts w:hint="default"/>
          <w:color w:val="auto"/>
          <w:highlight w:val="none"/>
          <w:lang w:val="en-US" w:eastAsia="zh-CN"/>
        </w:rPr>
      </w:pPr>
      <w:r>
        <w:rPr>
          <w:rFonts w:hint="eastAsia"/>
          <w:color w:val="auto"/>
          <w:highlight w:val="none"/>
          <w:lang w:val="en-US" w:eastAsia="zh-CN"/>
        </w:rPr>
        <w:t>7.申报机构承诺函（托管机构）</w:t>
      </w:r>
    </w:p>
    <w:p>
      <w:pPr>
        <w:pStyle w:val="23"/>
        <w:numPr>
          <w:ilvl w:val="0"/>
          <w:numId w:val="0"/>
        </w:numPr>
        <w:ind w:left="1600" w:firstLine="0" w:firstLineChars="0"/>
        <w:rPr>
          <w:rFonts w:hint="default"/>
          <w:color w:val="auto"/>
          <w:highlight w:val="none"/>
          <w:lang w:val="en-US" w:eastAsia="zh-CN"/>
        </w:rPr>
      </w:pPr>
      <w:r>
        <w:rPr>
          <w:rFonts w:hint="eastAsia"/>
          <w:color w:val="auto"/>
          <w:highlight w:val="none"/>
          <w:lang w:val="en-US" w:eastAsia="zh-CN"/>
        </w:rPr>
        <w:t>8.装订清单</w:t>
      </w:r>
    </w:p>
    <w:p>
      <w:pPr>
        <w:pStyle w:val="23"/>
        <w:numPr>
          <w:ilvl w:val="0"/>
          <w:numId w:val="0"/>
        </w:numPr>
        <w:ind w:left="1600" w:firstLine="0" w:firstLineChars="0"/>
        <w:rPr>
          <w:rFonts w:hint="default"/>
          <w:color w:val="auto"/>
          <w:highlight w:val="none"/>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1CDB30-77D6-445E-AB42-A14E046FA8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43DDD764-1630-412F-B89A-EAB8DE5C906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07E058AF-43DC-4A8A-873A-928F96931A51}"/>
  </w:font>
  <w:font w:name="微软雅黑">
    <w:panose1 w:val="020B0503020204020204"/>
    <w:charset w:val="86"/>
    <w:family w:val="auto"/>
    <w:pitch w:val="default"/>
    <w:sig w:usb0="80000287" w:usb1="2ACF3C50" w:usb2="00000016" w:usb3="00000000" w:csb0="0004001F" w:csb1="00000000"/>
    <w:embedRegular r:id="rId4" w:fontKey="{81C8A74F-1574-4349-B0B6-D9B278C41CD4}"/>
  </w:font>
  <w:font w:name="方正小标宋_GBK">
    <w:panose1 w:val="03000509000000000000"/>
    <w:charset w:val="86"/>
    <w:family w:val="auto"/>
    <w:pitch w:val="default"/>
    <w:sig w:usb0="00000001" w:usb1="080E0000" w:usb2="00000000" w:usb3="00000000" w:csb0="00040000" w:csb1="00000000"/>
    <w:embedRegular r:id="rId5" w:fontKey="{77F45C4E-3758-475D-A5EB-EC509C591E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252095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Style w:val="19"/>
                              <w:rFonts w:hint="default" w:ascii="宋体" w:hAnsi="宋体" w:eastAsia="宋体"/>
                              <w:sz w:val="28"/>
                              <w:szCs w:val="28"/>
                              <w:lang w:val="en-US" w:eastAsia="zh-CN"/>
                            </w:rPr>
                          </w:pPr>
                          <w:r>
                            <w:rPr>
                              <w:rStyle w:val="19"/>
                              <w:rFonts w:hint="default" w:ascii="宋体" w:hAnsi="宋体" w:eastAsia="宋体"/>
                              <w:sz w:val="28"/>
                              <w:szCs w:val="28"/>
                              <w:lang w:val="en-US" w:eastAsia="zh-CN"/>
                            </w:rPr>
                            <w:t xml:space="preserve">— </w:t>
                          </w:r>
                          <w:r>
                            <w:rPr>
                              <w:rStyle w:val="19"/>
                              <w:rFonts w:hint="default" w:ascii="宋体" w:hAnsi="宋体" w:eastAsia="宋体"/>
                              <w:sz w:val="28"/>
                              <w:szCs w:val="28"/>
                              <w:lang w:val="en-US" w:eastAsia="zh-CN"/>
                            </w:rPr>
                            <w:fldChar w:fldCharType="begin"/>
                          </w:r>
                          <w:r>
                            <w:rPr>
                              <w:rStyle w:val="19"/>
                              <w:rFonts w:hint="default" w:ascii="宋体" w:hAnsi="宋体" w:eastAsia="宋体"/>
                              <w:sz w:val="28"/>
                              <w:szCs w:val="28"/>
                              <w:lang w:val="en-US" w:eastAsia="zh-CN"/>
                            </w:rPr>
                            <w:instrText xml:space="preserve"> PAGE  \* MERGEFORMAT </w:instrText>
                          </w:r>
                          <w:r>
                            <w:rPr>
                              <w:rStyle w:val="19"/>
                              <w:rFonts w:hint="default" w:ascii="宋体" w:hAnsi="宋体" w:eastAsia="宋体"/>
                              <w:sz w:val="28"/>
                              <w:szCs w:val="28"/>
                              <w:lang w:val="en-US" w:eastAsia="zh-CN"/>
                            </w:rPr>
                            <w:fldChar w:fldCharType="separate"/>
                          </w:r>
                          <w:r>
                            <w:rPr>
                              <w:rStyle w:val="19"/>
                              <w:rFonts w:hint="default" w:ascii="宋体" w:hAnsi="宋体" w:eastAsia="宋体"/>
                              <w:sz w:val="28"/>
                              <w:szCs w:val="28"/>
                              <w:lang w:val="en-US" w:eastAsia="zh-CN"/>
                            </w:rPr>
                            <w:t>- 1 -</w:t>
                          </w:r>
                          <w:r>
                            <w:rPr>
                              <w:rStyle w:val="19"/>
                              <w:rFonts w:hint="default" w:ascii="宋体" w:hAnsi="宋体" w:eastAsia="宋体"/>
                              <w:sz w:val="28"/>
                              <w:szCs w:val="28"/>
                              <w:lang w:val="en-US" w:eastAsia="zh-CN"/>
                            </w:rPr>
                            <w:fldChar w:fldCharType="end"/>
                          </w:r>
                          <w:r>
                            <w:rPr>
                              <w:rStyle w:val="19"/>
                              <w:rFonts w:hint="default" w:ascii="宋体" w:hAnsi="宋体" w:eastAsia="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6.1pt;margin-top:756.15pt;height:144pt;width:144pt;mso-position-horizontal-relative:page;mso-position-vertical-relative:page;mso-wrap-style:none;z-index:251659264;mso-width-relative:page;mso-height-relative:page;" filled="f" stroked="f" coordsize="21600,21600" o:gfxdata="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59gfU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Style w:val="19"/>
                        <w:rFonts w:hint="default" w:ascii="宋体" w:hAnsi="宋体" w:eastAsia="宋体"/>
                        <w:sz w:val="28"/>
                        <w:szCs w:val="28"/>
                        <w:lang w:val="en-US" w:eastAsia="zh-CN"/>
                      </w:rPr>
                    </w:pPr>
                    <w:r>
                      <w:rPr>
                        <w:rStyle w:val="19"/>
                        <w:rFonts w:hint="default" w:ascii="宋体" w:hAnsi="宋体" w:eastAsia="宋体"/>
                        <w:sz w:val="28"/>
                        <w:szCs w:val="28"/>
                        <w:lang w:val="en-US" w:eastAsia="zh-CN"/>
                      </w:rPr>
                      <w:t xml:space="preserve">— </w:t>
                    </w:r>
                    <w:r>
                      <w:rPr>
                        <w:rStyle w:val="19"/>
                        <w:rFonts w:hint="default" w:ascii="宋体" w:hAnsi="宋体" w:eastAsia="宋体"/>
                        <w:sz w:val="28"/>
                        <w:szCs w:val="28"/>
                        <w:lang w:val="en-US" w:eastAsia="zh-CN"/>
                      </w:rPr>
                      <w:fldChar w:fldCharType="begin"/>
                    </w:r>
                    <w:r>
                      <w:rPr>
                        <w:rStyle w:val="19"/>
                        <w:rFonts w:hint="default" w:ascii="宋体" w:hAnsi="宋体" w:eastAsia="宋体"/>
                        <w:sz w:val="28"/>
                        <w:szCs w:val="28"/>
                        <w:lang w:val="en-US" w:eastAsia="zh-CN"/>
                      </w:rPr>
                      <w:instrText xml:space="preserve"> PAGE  \* MERGEFORMAT </w:instrText>
                    </w:r>
                    <w:r>
                      <w:rPr>
                        <w:rStyle w:val="19"/>
                        <w:rFonts w:hint="default" w:ascii="宋体" w:hAnsi="宋体" w:eastAsia="宋体"/>
                        <w:sz w:val="28"/>
                        <w:szCs w:val="28"/>
                        <w:lang w:val="en-US" w:eastAsia="zh-CN"/>
                      </w:rPr>
                      <w:fldChar w:fldCharType="separate"/>
                    </w:r>
                    <w:r>
                      <w:rPr>
                        <w:rStyle w:val="19"/>
                        <w:rFonts w:hint="default" w:ascii="宋体" w:hAnsi="宋体" w:eastAsia="宋体"/>
                        <w:sz w:val="28"/>
                        <w:szCs w:val="28"/>
                        <w:lang w:val="en-US" w:eastAsia="zh-CN"/>
                      </w:rPr>
                      <w:t>- 1 -</w:t>
                    </w:r>
                    <w:r>
                      <w:rPr>
                        <w:rStyle w:val="19"/>
                        <w:rFonts w:hint="default" w:ascii="宋体" w:hAnsi="宋体" w:eastAsia="宋体"/>
                        <w:sz w:val="28"/>
                        <w:szCs w:val="28"/>
                        <w:lang w:val="en-US" w:eastAsia="zh-CN"/>
                      </w:rPr>
                      <w:fldChar w:fldCharType="end"/>
                    </w:r>
                    <w:r>
                      <w:rPr>
                        <w:rStyle w:val="19"/>
                        <w:rFonts w:hint="default" w:ascii="宋体" w:hAnsi="宋体" w:eastAsia="宋体"/>
                        <w:sz w:val="28"/>
                        <w:szCs w:val="28"/>
                        <w:lang w:val="en-US" w:eastAsia="zh-CN"/>
                      </w:rPr>
                      <w:t xml:space="preserve"> —</w:t>
                    </w:r>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9A2AA"/>
    <w:multiLevelType w:val="singleLevel"/>
    <w:tmpl w:val="3D89A2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NWNkOGQ5OGVlNDI0OGNmYjQ0MzFmZGM3ZDI3MDgifQ=="/>
  </w:docVars>
  <w:rsids>
    <w:rsidRoot w:val="00172A27"/>
    <w:rsid w:val="000246DD"/>
    <w:rsid w:val="000F214C"/>
    <w:rsid w:val="00315388"/>
    <w:rsid w:val="007A1658"/>
    <w:rsid w:val="00FD2213"/>
    <w:rsid w:val="02661E94"/>
    <w:rsid w:val="035260CE"/>
    <w:rsid w:val="038D4FAA"/>
    <w:rsid w:val="042F4DEA"/>
    <w:rsid w:val="0462039F"/>
    <w:rsid w:val="05542E41"/>
    <w:rsid w:val="05662A5E"/>
    <w:rsid w:val="056A1D91"/>
    <w:rsid w:val="05C0423C"/>
    <w:rsid w:val="05E57C1D"/>
    <w:rsid w:val="06764670"/>
    <w:rsid w:val="0699503C"/>
    <w:rsid w:val="071F09D2"/>
    <w:rsid w:val="074D5B67"/>
    <w:rsid w:val="07633AC3"/>
    <w:rsid w:val="07B160CC"/>
    <w:rsid w:val="07E94A52"/>
    <w:rsid w:val="082601CE"/>
    <w:rsid w:val="089977FE"/>
    <w:rsid w:val="08B5322E"/>
    <w:rsid w:val="0907397C"/>
    <w:rsid w:val="0B1903F7"/>
    <w:rsid w:val="0B34014C"/>
    <w:rsid w:val="0B3619CE"/>
    <w:rsid w:val="0B9C2483"/>
    <w:rsid w:val="0BD12344"/>
    <w:rsid w:val="0BE30FD3"/>
    <w:rsid w:val="0BF142C8"/>
    <w:rsid w:val="0CCD4FAB"/>
    <w:rsid w:val="0D341E12"/>
    <w:rsid w:val="0D577817"/>
    <w:rsid w:val="0D58062B"/>
    <w:rsid w:val="0DC46801"/>
    <w:rsid w:val="0DD876E1"/>
    <w:rsid w:val="0F402FC0"/>
    <w:rsid w:val="0FCB1589"/>
    <w:rsid w:val="10241BC9"/>
    <w:rsid w:val="10885949"/>
    <w:rsid w:val="110C7BFC"/>
    <w:rsid w:val="110D3EBD"/>
    <w:rsid w:val="12A34963"/>
    <w:rsid w:val="13362AB3"/>
    <w:rsid w:val="135B0E75"/>
    <w:rsid w:val="136328AB"/>
    <w:rsid w:val="14AB3737"/>
    <w:rsid w:val="14D83E5C"/>
    <w:rsid w:val="15727039"/>
    <w:rsid w:val="15C82EFC"/>
    <w:rsid w:val="15DB629E"/>
    <w:rsid w:val="15FC7E67"/>
    <w:rsid w:val="16325D4A"/>
    <w:rsid w:val="16607149"/>
    <w:rsid w:val="16C51375"/>
    <w:rsid w:val="17090A15"/>
    <w:rsid w:val="170C6C45"/>
    <w:rsid w:val="17820AD9"/>
    <w:rsid w:val="193C3D30"/>
    <w:rsid w:val="19776340"/>
    <w:rsid w:val="19832ED4"/>
    <w:rsid w:val="19BE5CBA"/>
    <w:rsid w:val="1A243B07"/>
    <w:rsid w:val="1A847D4A"/>
    <w:rsid w:val="1B8A557E"/>
    <w:rsid w:val="1BAB594C"/>
    <w:rsid w:val="1BB852A0"/>
    <w:rsid w:val="1C1D316C"/>
    <w:rsid w:val="1C556DAA"/>
    <w:rsid w:val="1C626A68"/>
    <w:rsid w:val="1C8166F6"/>
    <w:rsid w:val="1C820C98"/>
    <w:rsid w:val="1C986C96"/>
    <w:rsid w:val="1CBD3E12"/>
    <w:rsid w:val="1D106FD3"/>
    <w:rsid w:val="1D467C25"/>
    <w:rsid w:val="1D81597C"/>
    <w:rsid w:val="1DC00FE3"/>
    <w:rsid w:val="1E1112E1"/>
    <w:rsid w:val="1E6A6411"/>
    <w:rsid w:val="1FF527DD"/>
    <w:rsid w:val="1FFD521F"/>
    <w:rsid w:val="20333325"/>
    <w:rsid w:val="205D1581"/>
    <w:rsid w:val="20600BDD"/>
    <w:rsid w:val="20CD59A0"/>
    <w:rsid w:val="20EB7D31"/>
    <w:rsid w:val="212D79FC"/>
    <w:rsid w:val="224B0307"/>
    <w:rsid w:val="228A6744"/>
    <w:rsid w:val="230E4D25"/>
    <w:rsid w:val="245E4322"/>
    <w:rsid w:val="24912BDE"/>
    <w:rsid w:val="255D053C"/>
    <w:rsid w:val="25A32490"/>
    <w:rsid w:val="25BA5ED0"/>
    <w:rsid w:val="25D215AC"/>
    <w:rsid w:val="27136DFC"/>
    <w:rsid w:val="272C573E"/>
    <w:rsid w:val="273B58DA"/>
    <w:rsid w:val="27804026"/>
    <w:rsid w:val="28241945"/>
    <w:rsid w:val="28497097"/>
    <w:rsid w:val="2976371B"/>
    <w:rsid w:val="297840D8"/>
    <w:rsid w:val="29DC484D"/>
    <w:rsid w:val="2AF17C04"/>
    <w:rsid w:val="2B123B4A"/>
    <w:rsid w:val="2BEC4909"/>
    <w:rsid w:val="2C343454"/>
    <w:rsid w:val="2C4319DC"/>
    <w:rsid w:val="2CDB5425"/>
    <w:rsid w:val="2CE454FC"/>
    <w:rsid w:val="2D3813E7"/>
    <w:rsid w:val="2DEF248E"/>
    <w:rsid w:val="2E2C15B4"/>
    <w:rsid w:val="2E2C74AE"/>
    <w:rsid w:val="2E473F1C"/>
    <w:rsid w:val="2E5C49E4"/>
    <w:rsid w:val="2F2A7FD9"/>
    <w:rsid w:val="2F6B5488"/>
    <w:rsid w:val="2F7B222C"/>
    <w:rsid w:val="2FC9668F"/>
    <w:rsid w:val="302205B3"/>
    <w:rsid w:val="313B1EBA"/>
    <w:rsid w:val="3163741B"/>
    <w:rsid w:val="31FB05C7"/>
    <w:rsid w:val="320811AE"/>
    <w:rsid w:val="32E7528C"/>
    <w:rsid w:val="33154745"/>
    <w:rsid w:val="33C1483B"/>
    <w:rsid w:val="33FC4A22"/>
    <w:rsid w:val="348249FB"/>
    <w:rsid w:val="34DD74E5"/>
    <w:rsid w:val="35BE0B65"/>
    <w:rsid w:val="35F920FC"/>
    <w:rsid w:val="364854DA"/>
    <w:rsid w:val="36EF3811"/>
    <w:rsid w:val="36F305C2"/>
    <w:rsid w:val="37121381"/>
    <w:rsid w:val="371B1497"/>
    <w:rsid w:val="38165CBA"/>
    <w:rsid w:val="381F4C5A"/>
    <w:rsid w:val="386225B7"/>
    <w:rsid w:val="38682E11"/>
    <w:rsid w:val="38AD254B"/>
    <w:rsid w:val="38FF3ECD"/>
    <w:rsid w:val="397856C4"/>
    <w:rsid w:val="398B4880"/>
    <w:rsid w:val="399F2D01"/>
    <w:rsid w:val="3A995C5C"/>
    <w:rsid w:val="3AE4493D"/>
    <w:rsid w:val="3D586E77"/>
    <w:rsid w:val="3DB536AE"/>
    <w:rsid w:val="3E265A58"/>
    <w:rsid w:val="3E5F18CE"/>
    <w:rsid w:val="3E911E2D"/>
    <w:rsid w:val="3EA77909"/>
    <w:rsid w:val="3EF57EE5"/>
    <w:rsid w:val="3EFE29CC"/>
    <w:rsid w:val="3F033FEC"/>
    <w:rsid w:val="3F935E11"/>
    <w:rsid w:val="3FE77469"/>
    <w:rsid w:val="4050500F"/>
    <w:rsid w:val="4095402E"/>
    <w:rsid w:val="416009D6"/>
    <w:rsid w:val="41E4577E"/>
    <w:rsid w:val="421F256D"/>
    <w:rsid w:val="42252A63"/>
    <w:rsid w:val="43060664"/>
    <w:rsid w:val="430B346F"/>
    <w:rsid w:val="441D09AD"/>
    <w:rsid w:val="443E693D"/>
    <w:rsid w:val="444160A0"/>
    <w:rsid w:val="44817F02"/>
    <w:rsid w:val="449366D5"/>
    <w:rsid w:val="44DE32C7"/>
    <w:rsid w:val="451D4D6A"/>
    <w:rsid w:val="45AF12BB"/>
    <w:rsid w:val="45F21317"/>
    <w:rsid w:val="463D7F6C"/>
    <w:rsid w:val="46401681"/>
    <w:rsid w:val="46835337"/>
    <w:rsid w:val="46F044CB"/>
    <w:rsid w:val="47546B64"/>
    <w:rsid w:val="479A2167"/>
    <w:rsid w:val="48D176B1"/>
    <w:rsid w:val="4902794C"/>
    <w:rsid w:val="495A16E6"/>
    <w:rsid w:val="496A53AC"/>
    <w:rsid w:val="49E36EF3"/>
    <w:rsid w:val="4AC35D95"/>
    <w:rsid w:val="4ACE33B8"/>
    <w:rsid w:val="4C1903BC"/>
    <w:rsid w:val="4C73648A"/>
    <w:rsid w:val="4C8B6180"/>
    <w:rsid w:val="4CEA634C"/>
    <w:rsid w:val="4D0D43E6"/>
    <w:rsid w:val="4DB46DAD"/>
    <w:rsid w:val="4DDA25BD"/>
    <w:rsid w:val="4DDF0010"/>
    <w:rsid w:val="4E586A38"/>
    <w:rsid w:val="4E5A4C52"/>
    <w:rsid w:val="4E7E368F"/>
    <w:rsid w:val="4ECB1E0A"/>
    <w:rsid w:val="4EEFBCE8"/>
    <w:rsid w:val="4FC01699"/>
    <w:rsid w:val="4FC63C54"/>
    <w:rsid w:val="4FD35189"/>
    <w:rsid w:val="4FDC27F1"/>
    <w:rsid w:val="4FF930E5"/>
    <w:rsid w:val="501E6ED7"/>
    <w:rsid w:val="50746D3A"/>
    <w:rsid w:val="50942DAE"/>
    <w:rsid w:val="50BF6246"/>
    <w:rsid w:val="517D7C03"/>
    <w:rsid w:val="51FE7AF4"/>
    <w:rsid w:val="52AB2578"/>
    <w:rsid w:val="52BE04FE"/>
    <w:rsid w:val="533A5A08"/>
    <w:rsid w:val="546311AC"/>
    <w:rsid w:val="54731EA0"/>
    <w:rsid w:val="54A320E2"/>
    <w:rsid w:val="54FE702D"/>
    <w:rsid w:val="551D04D3"/>
    <w:rsid w:val="55777228"/>
    <w:rsid w:val="55D02A65"/>
    <w:rsid w:val="55EB1C27"/>
    <w:rsid w:val="561B017B"/>
    <w:rsid w:val="561D44AF"/>
    <w:rsid w:val="56651D73"/>
    <w:rsid w:val="567611B8"/>
    <w:rsid w:val="56B50FE5"/>
    <w:rsid w:val="575120B3"/>
    <w:rsid w:val="58797907"/>
    <w:rsid w:val="58DA3BE0"/>
    <w:rsid w:val="594D6D78"/>
    <w:rsid w:val="59B11EBE"/>
    <w:rsid w:val="5A0A18A0"/>
    <w:rsid w:val="5A1E1882"/>
    <w:rsid w:val="5AA42048"/>
    <w:rsid w:val="5AED4DD8"/>
    <w:rsid w:val="5AFC23DC"/>
    <w:rsid w:val="5B1D419D"/>
    <w:rsid w:val="5B9023E3"/>
    <w:rsid w:val="5BCA21A1"/>
    <w:rsid w:val="5C5D7FDC"/>
    <w:rsid w:val="5C8E7193"/>
    <w:rsid w:val="5C9F6CAA"/>
    <w:rsid w:val="5CC848AA"/>
    <w:rsid w:val="5CD12D9F"/>
    <w:rsid w:val="5D280A87"/>
    <w:rsid w:val="5D366502"/>
    <w:rsid w:val="5D4E247E"/>
    <w:rsid w:val="5D7172BA"/>
    <w:rsid w:val="5D861C18"/>
    <w:rsid w:val="5E2C0FBC"/>
    <w:rsid w:val="5E300B46"/>
    <w:rsid w:val="5E853794"/>
    <w:rsid w:val="5EC549C2"/>
    <w:rsid w:val="5F3D27AA"/>
    <w:rsid w:val="5F6BBBC4"/>
    <w:rsid w:val="5F955872"/>
    <w:rsid w:val="5FA83F00"/>
    <w:rsid w:val="5FE85592"/>
    <w:rsid w:val="60BF1870"/>
    <w:rsid w:val="61811074"/>
    <w:rsid w:val="61ED495B"/>
    <w:rsid w:val="620D06B3"/>
    <w:rsid w:val="626F6F87"/>
    <w:rsid w:val="634C17DF"/>
    <w:rsid w:val="644655A4"/>
    <w:rsid w:val="648F5856"/>
    <w:rsid w:val="64DC0251"/>
    <w:rsid w:val="659D799E"/>
    <w:rsid w:val="65C14135"/>
    <w:rsid w:val="65DC6FA7"/>
    <w:rsid w:val="660F2DA7"/>
    <w:rsid w:val="67444360"/>
    <w:rsid w:val="67B937C6"/>
    <w:rsid w:val="67E339FA"/>
    <w:rsid w:val="681E0626"/>
    <w:rsid w:val="685C1EF3"/>
    <w:rsid w:val="68716389"/>
    <w:rsid w:val="68BB516C"/>
    <w:rsid w:val="69B1626F"/>
    <w:rsid w:val="69B95A7F"/>
    <w:rsid w:val="6A13752C"/>
    <w:rsid w:val="6ABF5B88"/>
    <w:rsid w:val="6AF723A7"/>
    <w:rsid w:val="6B5E41D4"/>
    <w:rsid w:val="6BAB74A4"/>
    <w:rsid w:val="6C156B1E"/>
    <w:rsid w:val="6C767D6A"/>
    <w:rsid w:val="6D1F4762"/>
    <w:rsid w:val="6D220E5F"/>
    <w:rsid w:val="6E50474B"/>
    <w:rsid w:val="6E5C5F84"/>
    <w:rsid w:val="6E6164B5"/>
    <w:rsid w:val="6E8B0DCB"/>
    <w:rsid w:val="6FC06483"/>
    <w:rsid w:val="6FDC6D6E"/>
    <w:rsid w:val="70E13F88"/>
    <w:rsid w:val="70F74EAF"/>
    <w:rsid w:val="711D41EA"/>
    <w:rsid w:val="723F0D69"/>
    <w:rsid w:val="73C20AD7"/>
    <w:rsid w:val="742570C5"/>
    <w:rsid w:val="744A35A3"/>
    <w:rsid w:val="747F59FC"/>
    <w:rsid w:val="74B4476C"/>
    <w:rsid w:val="74D52F80"/>
    <w:rsid w:val="74FA31C0"/>
    <w:rsid w:val="74FD2437"/>
    <w:rsid w:val="751F3C47"/>
    <w:rsid w:val="751F7208"/>
    <w:rsid w:val="75824AFA"/>
    <w:rsid w:val="75975125"/>
    <w:rsid w:val="75A42D10"/>
    <w:rsid w:val="75B57FDA"/>
    <w:rsid w:val="769A6234"/>
    <w:rsid w:val="77EC0B6E"/>
    <w:rsid w:val="78774248"/>
    <w:rsid w:val="78D215A5"/>
    <w:rsid w:val="78F564AD"/>
    <w:rsid w:val="79644AE9"/>
    <w:rsid w:val="7A981C75"/>
    <w:rsid w:val="7A9D712C"/>
    <w:rsid w:val="7AA85669"/>
    <w:rsid w:val="7AAB6EF5"/>
    <w:rsid w:val="7AF724F2"/>
    <w:rsid w:val="7BB30F09"/>
    <w:rsid w:val="7C0B3A47"/>
    <w:rsid w:val="7CAD6138"/>
    <w:rsid w:val="7D5A354C"/>
    <w:rsid w:val="7D927E6F"/>
    <w:rsid w:val="7DBB4BB9"/>
    <w:rsid w:val="7DDE576B"/>
    <w:rsid w:val="7E2C6321"/>
    <w:rsid w:val="7F1A2857"/>
    <w:rsid w:val="7F6D27E0"/>
    <w:rsid w:val="7F712912"/>
    <w:rsid w:val="7FE7446C"/>
    <w:rsid w:val="EE9BF26B"/>
    <w:rsid w:val="FEF9F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宋体" w:hAnsi="宋体" w:eastAsia="宋体" w:cs="宋体"/>
      <w:b/>
      <w:bCs/>
      <w:kern w:val="44"/>
      <w:sz w:val="32"/>
      <w:szCs w:val="32"/>
    </w:rPr>
  </w:style>
  <w:style w:type="paragraph" w:styleId="3">
    <w:name w:val="heading 2"/>
    <w:basedOn w:val="1"/>
    <w:next w:val="1"/>
    <w:semiHidden/>
    <w:unhideWhenUsed/>
    <w:qFormat/>
    <w:uiPriority w:val="0"/>
    <w:pPr>
      <w:keepNext/>
      <w:keepLines/>
      <w:spacing w:beforeLines="0" w:beforeAutospacing="0" w:afterLines="0" w:afterAutospacing="0" w:line="413" w:lineRule="auto"/>
      <w:outlineLvl w:val="1"/>
    </w:pPr>
    <w:rPr>
      <w:rFonts w:ascii="Arial" w:hAnsi="Arial" w:eastAsia="楷体"/>
      <w:sz w:val="32"/>
    </w:rPr>
  </w:style>
  <w:style w:type="paragraph" w:styleId="4">
    <w:name w:val="heading 3"/>
    <w:basedOn w:val="1"/>
    <w:next w:val="1"/>
    <w:link w:val="25"/>
    <w:semiHidden/>
    <w:unhideWhenUsed/>
    <w:qFormat/>
    <w:uiPriority w:val="0"/>
    <w:pPr>
      <w:keepNext/>
      <w:keepLines/>
      <w:spacing w:before="260" w:after="260" w:line="416" w:lineRule="auto"/>
      <w:outlineLvl w:val="2"/>
    </w:pPr>
    <w:rPr>
      <w:rFonts w:ascii="宋体" w:hAnsi="宋体" w:eastAsia="宋体" w:cs="宋体"/>
      <w:b/>
      <w:bCs/>
      <w:sz w:val="24"/>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cs="宋体"/>
      <w:b/>
      <w:sz w:val="28"/>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8">
    <w:name w:val="Default Paragraph Font"/>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pPr>
      <w:adjustRightInd w:val="0"/>
      <w:snapToGrid w:val="0"/>
      <w:jc w:val="center"/>
    </w:pPr>
  </w:style>
  <w:style w:type="paragraph" w:styleId="9">
    <w:name w:val="toc 3"/>
    <w:basedOn w:val="1"/>
    <w:next w:val="1"/>
    <w:qFormat/>
    <w:uiPriority w:val="0"/>
    <w:pPr>
      <w:tabs>
        <w:tab w:val="right" w:leader="dot" w:pos="8296"/>
      </w:tabs>
      <w:spacing w:line="360" w:lineRule="auto"/>
      <w:ind w:left="960" w:leftChars="400"/>
    </w:pPr>
    <w:rPr>
      <w:rFonts w:ascii="宋体" w:hAnsi="宋体" w:eastAsia="宋体" w:cs="宋体"/>
      <w:sz w:val="24"/>
    </w:rPr>
  </w:style>
  <w:style w:type="paragraph" w:styleId="10">
    <w:name w:val="Body Text Indent 2"/>
    <w:basedOn w:val="1"/>
    <w:qFormat/>
    <w:uiPriority w:val="0"/>
    <w:pPr>
      <w:spacing w:line="360" w:lineRule="auto"/>
      <w:ind w:right="279" w:rightChars="133" w:firstLine="640" w:firstLineChars="200"/>
    </w:pPr>
    <w:rPr>
      <w:rFonts w:ascii="仿宋_GB2312" w:eastAsia="仿宋_GB2312"/>
      <w:sz w:val="32"/>
      <w:szCs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tabs>
        <w:tab w:val="left" w:pos="851"/>
        <w:tab w:val="right" w:leader="dot" w:pos="8494"/>
      </w:tabs>
      <w:spacing w:line="360" w:lineRule="auto"/>
      <w:ind w:left="420" w:leftChars="200"/>
    </w:pPr>
    <w:rPr>
      <w:rFonts w:ascii="宋体" w:hAnsi="宋体" w:eastAsia="宋体" w:cs="Times New Roman"/>
      <w:sz w:val="24"/>
      <w:szCs w:val="2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otnote reference"/>
    <w:basedOn w:val="18"/>
    <w:qFormat/>
    <w:uiPriority w:val="0"/>
    <w:rPr>
      <w:vertAlign w:val="superscript"/>
    </w:rPr>
  </w:style>
  <w:style w:type="paragraph" w:customStyle="1" w:styleId="21">
    <w:name w:val="标题2（一）"/>
    <w:basedOn w:val="3"/>
    <w:next w:val="1"/>
    <w:link w:val="28"/>
    <w:qFormat/>
    <w:uiPriority w:val="0"/>
    <w:pPr>
      <w:keepNext w:val="0"/>
      <w:keepLines w:val="0"/>
      <w:spacing w:line="560" w:lineRule="exact"/>
      <w:ind w:firstLine="641" w:firstLineChars="200"/>
    </w:pPr>
    <w:rPr>
      <w:rFonts w:ascii="楷体" w:hAnsi="楷体" w:cs="楷体"/>
    </w:rPr>
  </w:style>
  <w:style w:type="character" w:customStyle="1" w:styleId="22">
    <w:name w:val="标题 1 字符"/>
    <w:basedOn w:val="18"/>
    <w:link w:val="2"/>
    <w:qFormat/>
    <w:uiPriority w:val="9"/>
    <w:rPr>
      <w:rFonts w:ascii="宋体" w:hAnsi="宋体" w:eastAsia="宋体" w:cs="宋体"/>
      <w:b/>
      <w:bCs/>
      <w:kern w:val="44"/>
      <w:sz w:val="32"/>
      <w:szCs w:val="32"/>
    </w:rPr>
  </w:style>
  <w:style w:type="paragraph" w:customStyle="1" w:styleId="23">
    <w:name w:val="正文（正）"/>
    <w:basedOn w:val="1"/>
    <w:link w:val="24"/>
    <w:qFormat/>
    <w:uiPriority w:val="0"/>
    <w:pPr>
      <w:wordWrap/>
      <w:overflowPunct/>
      <w:spacing w:line="570" w:lineRule="exact"/>
      <w:ind w:firstLine="880" w:firstLineChars="200"/>
    </w:pPr>
    <w:rPr>
      <w:rFonts w:ascii="仿宋" w:hAnsi="仿宋" w:eastAsia="仿宋_GB2312"/>
      <w:sz w:val="32"/>
    </w:rPr>
  </w:style>
  <w:style w:type="character" w:customStyle="1" w:styleId="24">
    <w:name w:val="正文（official ） Char"/>
    <w:link w:val="23"/>
    <w:qFormat/>
    <w:uiPriority w:val="0"/>
    <w:rPr>
      <w:rFonts w:ascii="仿宋" w:hAnsi="仿宋" w:eastAsia="仿宋_GB2312"/>
      <w:sz w:val="32"/>
    </w:rPr>
  </w:style>
  <w:style w:type="character" w:customStyle="1" w:styleId="25">
    <w:name w:val="标题 3 字符"/>
    <w:basedOn w:val="18"/>
    <w:link w:val="4"/>
    <w:qFormat/>
    <w:uiPriority w:val="9"/>
    <w:rPr>
      <w:rFonts w:ascii="宋体" w:hAnsi="宋体" w:eastAsia="宋体" w:cs="宋体"/>
      <w:b/>
      <w:bCs/>
      <w:sz w:val="24"/>
      <w:szCs w:val="24"/>
    </w:rPr>
  </w:style>
  <w:style w:type="character" w:customStyle="1" w:styleId="26">
    <w:name w:val="标题1 Char"/>
    <w:link w:val="27"/>
    <w:qFormat/>
    <w:uiPriority w:val="0"/>
    <w:rPr>
      <w:rFonts w:hint="default" w:ascii="黑体" w:hAnsi="黑体" w:eastAsia="黑体" w:cs="黑体"/>
      <w:sz w:val="32"/>
      <w:szCs w:val="32"/>
    </w:rPr>
  </w:style>
  <w:style w:type="paragraph" w:customStyle="1" w:styleId="27">
    <w:name w:val="标题1 一、"/>
    <w:basedOn w:val="1"/>
    <w:link w:val="26"/>
    <w:qFormat/>
    <w:uiPriority w:val="0"/>
    <w:pPr>
      <w:spacing w:line="560" w:lineRule="exact"/>
      <w:ind w:firstLine="640" w:firstLineChars="200"/>
      <w:outlineLvl w:val="0"/>
    </w:pPr>
    <w:rPr>
      <w:rFonts w:ascii="黑体" w:hAnsi="黑体" w:eastAsia="黑体" w:cs="黑体"/>
      <w:sz w:val="32"/>
      <w:szCs w:val="32"/>
    </w:rPr>
  </w:style>
  <w:style w:type="character" w:customStyle="1" w:styleId="28">
    <w:name w:val="标题2（official） Char"/>
    <w:link w:val="21"/>
    <w:qFormat/>
    <w:uiPriority w:val="0"/>
    <w:rPr>
      <w:rFonts w:ascii="楷体" w:hAnsi="楷体" w:eastAsia="楷体" w:cs="楷体"/>
      <w:sz w:val="32"/>
    </w:rPr>
  </w:style>
  <w:style w:type="paragraph" w:customStyle="1" w:styleId="29">
    <w:name w:val="标题3 1."/>
    <w:basedOn w:val="1"/>
    <w:next w:val="23"/>
    <w:qFormat/>
    <w:uiPriority w:val="0"/>
    <w:pPr>
      <w:spacing w:line="560" w:lineRule="exact"/>
      <w:ind w:firstLine="640" w:firstLineChars="200"/>
      <w:outlineLvl w:val="2"/>
    </w:pPr>
    <w:rPr>
      <w:rFonts w:cs="仿宋"/>
      <w:b/>
      <w:szCs w:val="32"/>
    </w:rPr>
  </w:style>
  <w:style w:type="paragraph" w:customStyle="1" w:styleId="30">
    <w:name w:val="标题4 (1)"/>
    <w:basedOn w:val="1"/>
    <w:qFormat/>
    <w:uiPriority w:val="0"/>
    <w:pPr>
      <w:spacing w:line="560" w:lineRule="exact"/>
      <w:ind w:firstLine="640" w:firstLineChars="200"/>
      <w:outlineLvl w:val="3"/>
    </w:pPr>
    <w:rPr>
      <w:rFonts w:ascii="仿宋_GB2312" w:hAnsi="仿宋_GB2312" w:eastAsia="仿宋_GB2312" w:cs="仿宋"/>
      <w:sz w:val="32"/>
      <w:szCs w:val="32"/>
    </w:rPr>
  </w:style>
  <w:style w:type="table" w:customStyle="1" w:styleId="31">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总标题"/>
    <w:basedOn w:val="1"/>
    <w:link w:val="33"/>
    <w:qFormat/>
    <w:uiPriority w:val="0"/>
    <w:pPr>
      <w:spacing w:line="560" w:lineRule="exact"/>
      <w:jc w:val="center"/>
    </w:pPr>
    <w:rPr>
      <w:rFonts w:hint="eastAsia" w:ascii="微软雅黑" w:hAnsi="微软雅黑" w:eastAsia="方正小标宋_GBK" w:cs="微软雅黑"/>
      <w:sz w:val="44"/>
      <w:szCs w:val="44"/>
    </w:rPr>
  </w:style>
  <w:style w:type="character" w:customStyle="1" w:styleId="33">
    <w:name w:val="总标题 Char"/>
    <w:link w:val="32"/>
    <w:qFormat/>
    <w:uiPriority w:val="0"/>
    <w:rPr>
      <w:rFonts w:hint="eastAsia" w:ascii="微软雅黑" w:hAnsi="微软雅黑" w:eastAsia="方正小标宋_GBK" w:cs="微软雅黑"/>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3370</Words>
  <Characters>3433</Characters>
  <Lines>0</Lines>
  <Paragraphs>0</Paragraphs>
  <TotalTime>3</TotalTime>
  <ScaleCrop>false</ScaleCrop>
  <LinksUpToDate>false</LinksUpToDate>
  <CharactersWithSpaces>3439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ASUS</dc:creator>
  <cp:lastModifiedBy>卢泓凯</cp:lastModifiedBy>
  <dcterms:modified xsi:type="dcterms:W3CDTF">2025-10-11T00:57:34Z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4957B316AB394158AE4EDADE594DEA25_13</vt:lpwstr>
  </property>
  <property fmtid="{D5CDD505-2E9C-101B-9397-08002B2CF9AE}" pid="4" name="KSOSaveFontToCloudKey">
    <vt:lpwstr>1148138799_cloud</vt:lpwstr>
  </property>
  <property fmtid="{D5CDD505-2E9C-101B-9397-08002B2CF9AE}" pid="5" name="KSOTemplateDocerSaveRecord">
    <vt:lpwstr>eyJoZGlkIjoiMjQ4OWRkZTI5YTMzZGNiMDBiZGIyYzdjMzc1Y2ZkNGMiLCJ1c2VySWQiOiIxNTUxNTAwNDIzIn0=</vt:lpwstr>
  </property>
</Properties>
</file>