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80"/>
        </w:tabs>
        <w:kinsoku/>
        <w:wordWrap/>
        <w:overflowPunct/>
        <w:topLinePunct w:val="0"/>
        <w:autoSpaceDE/>
        <w:autoSpaceDN/>
        <w:bidi w:val="0"/>
        <w:adjustRightInd w:val="0"/>
        <w:snapToGrid w:val="0"/>
        <w:spacing w:line="560" w:lineRule="exact"/>
        <w:ind w:leftChars="0"/>
        <w:jc w:val="left"/>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附件6</w:t>
      </w:r>
    </w:p>
    <w:p>
      <w:pPr>
        <w:keepNext w:val="0"/>
        <w:keepLines w:val="0"/>
        <w:pageBreakBefore w:val="0"/>
        <w:widowControl w:val="0"/>
        <w:tabs>
          <w:tab w:val="left" w:pos="480"/>
        </w:tabs>
        <w:kinsoku/>
        <w:wordWrap/>
        <w:overflowPunct/>
        <w:topLinePunct w:val="0"/>
        <w:autoSpaceDE/>
        <w:autoSpaceDN/>
        <w:bidi w:val="0"/>
        <w:adjustRightInd w:val="0"/>
        <w:snapToGrid w:val="0"/>
        <w:spacing w:line="560" w:lineRule="exact"/>
        <w:ind w:leftChars="0"/>
        <w:jc w:val="center"/>
        <w:textAlignment w:val="auto"/>
        <w:rPr>
          <w:rFonts w:hint="eastAsia" w:ascii="方正小标宋简体" w:eastAsia="方正小标宋简体"/>
          <w:color w:val="auto"/>
          <w:sz w:val="41"/>
          <w:szCs w:val="41"/>
        </w:rPr>
      </w:pPr>
    </w:p>
    <w:p>
      <w:pPr>
        <w:keepNext w:val="0"/>
        <w:keepLines w:val="0"/>
        <w:pageBreakBefore w:val="0"/>
        <w:widowControl w:val="0"/>
        <w:tabs>
          <w:tab w:val="left" w:pos="480"/>
        </w:tabs>
        <w:kinsoku/>
        <w:wordWrap/>
        <w:overflowPunct/>
        <w:topLinePunct w:val="0"/>
        <w:autoSpaceDE/>
        <w:autoSpaceDN/>
        <w:bidi w:val="0"/>
        <w:adjustRightInd w:val="0"/>
        <w:snapToGrid w:val="0"/>
        <w:spacing w:line="560" w:lineRule="exact"/>
        <w:ind w:leftChars="0"/>
        <w:jc w:val="center"/>
        <w:textAlignment w:val="auto"/>
        <w:rPr>
          <w:rFonts w:hint="eastAsia" w:ascii="方正小标宋简体" w:eastAsia="方正小标宋简体"/>
          <w:color w:val="auto"/>
          <w:sz w:val="44"/>
          <w:szCs w:val="44"/>
          <w:lang w:eastAsia="zh-CN"/>
        </w:rPr>
      </w:pPr>
      <w:r>
        <w:rPr>
          <w:rFonts w:hint="eastAsia" w:ascii="方正小标宋简体" w:eastAsia="方正小标宋简体"/>
          <w:color w:val="auto"/>
          <w:sz w:val="44"/>
          <w:szCs w:val="44"/>
        </w:rPr>
        <w:t>202</w:t>
      </w:r>
      <w:r>
        <w:rPr>
          <w:rFonts w:hint="eastAsia" w:ascii="方正小标宋简体" w:eastAsia="方正小标宋简体"/>
          <w:color w:val="auto"/>
          <w:sz w:val="44"/>
          <w:szCs w:val="44"/>
          <w:lang w:val="en-US" w:eastAsia="zh-CN"/>
        </w:rPr>
        <w:t>6</w:t>
      </w:r>
      <w:r>
        <w:rPr>
          <w:rFonts w:hint="eastAsia" w:ascii="方正小标宋简体" w:eastAsia="方正小标宋简体"/>
          <w:color w:val="auto"/>
          <w:sz w:val="44"/>
          <w:szCs w:val="44"/>
        </w:rPr>
        <w:t>年福建省</w:t>
      </w:r>
      <w:r>
        <w:rPr>
          <w:rFonts w:hint="eastAsia" w:ascii="方正小标宋简体" w:eastAsia="方正小标宋简体"/>
          <w:color w:val="auto"/>
          <w:sz w:val="44"/>
          <w:szCs w:val="44"/>
          <w:lang w:eastAsia="zh-CN"/>
        </w:rPr>
        <w:t>粮油规模种植主体单产提升</w:t>
      </w:r>
    </w:p>
    <w:p>
      <w:pPr>
        <w:keepNext w:val="0"/>
        <w:keepLines w:val="0"/>
        <w:pageBreakBefore w:val="0"/>
        <w:widowControl w:val="0"/>
        <w:tabs>
          <w:tab w:val="left" w:pos="480"/>
        </w:tabs>
        <w:kinsoku/>
        <w:wordWrap/>
        <w:overflowPunct/>
        <w:topLinePunct w:val="0"/>
        <w:autoSpaceDE/>
        <w:autoSpaceDN/>
        <w:bidi w:val="0"/>
        <w:adjustRightInd w:val="0"/>
        <w:snapToGrid w:val="0"/>
        <w:spacing w:line="560" w:lineRule="exact"/>
        <w:ind w:leftChars="0"/>
        <w:jc w:val="center"/>
        <w:textAlignment w:val="auto"/>
        <w:rPr>
          <w:rFonts w:hint="eastAsia" w:ascii="方正小标宋简体" w:eastAsia="方正小标宋简体"/>
          <w:color w:val="auto"/>
          <w:sz w:val="44"/>
          <w:szCs w:val="44"/>
          <w:lang w:val="en" w:eastAsia="zh-CN"/>
        </w:rPr>
      </w:pPr>
      <w:r>
        <w:rPr>
          <w:rFonts w:hint="eastAsia" w:ascii="方正小标宋简体" w:eastAsia="方正小标宋简体"/>
          <w:color w:val="auto"/>
          <w:sz w:val="44"/>
          <w:szCs w:val="44"/>
        </w:rPr>
        <w:t>项目</w:t>
      </w:r>
      <w:r>
        <w:rPr>
          <w:rFonts w:hint="eastAsia" w:ascii="方正小标宋简体" w:eastAsia="方正小标宋简体"/>
          <w:color w:val="auto"/>
          <w:sz w:val="44"/>
          <w:szCs w:val="44"/>
          <w:lang w:eastAsia="zh-CN"/>
        </w:rPr>
        <w:t>申报指南</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720"/>
        <w:textAlignment w:val="auto"/>
        <w:rPr>
          <w:rFonts w:hint="eastAsia" w:ascii="仿宋_GB2312"/>
          <w:color w:val="auto"/>
          <w:sz w:val="31"/>
          <w:szCs w:val="31"/>
        </w:rPr>
      </w:pP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黑体" w:eastAsia="黑体"/>
          <w:color w:val="auto"/>
          <w:sz w:val="32"/>
          <w:szCs w:val="32"/>
          <w:lang w:eastAsia="zh-CN"/>
        </w:rPr>
      </w:pPr>
      <w:r>
        <w:rPr>
          <w:rFonts w:hint="eastAsia" w:ascii="黑体" w:eastAsia="黑体"/>
          <w:color w:val="auto"/>
          <w:sz w:val="32"/>
          <w:szCs w:val="32"/>
          <w:lang w:val="en-US" w:eastAsia="zh-CN"/>
        </w:rPr>
        <w:t>一</w:t>
      </w:r>
      <w:r>
        <w:rPr>
          <w:rFonts w:hint="eastAsia" w:ascii="黑体" w:eastAsia="黑体"/>
          <w:color w:val="auto"/>
          <w:sz w:val="32"/>
          <w:szCs w:val="32"/>
        </w:rPr>
        <w:t>、</w:t>
      </w:r>
      <w:r>
        <w:rPr>
          <w:rFonts w:hint="eastAsia" w:ascii="黑体" w:eastAsia="黑体"/>
          <w:color w:val="auto"/>
          <w:sz w:val="32"/>
          <w:szCs w:val="32"/>
          <w:lang w:val="en-US" w:eastAsia="zh-CN"/>
        </w:rPr>
        <w:t>申报条件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cs="仿宋_GB2312"/>
          <w:color w:val="auto"/>
          <w:sz w:val="32"/>
          <w:szCs w:val="32"/>
          <w:lang w:val="en-US" w:eastAsia="zh-CN"/>
        </w:rPr>
        <w:t>（一）</w:t>
      </w:r>
      <w:r>
        <w:rPr>
          <w:rFonts w:hint="eastAsia" w:ascii="仿宋_GB2312" w:hAnsi="仿宋_GB2312" w:eastAsia="仿宋_GB2312" w:cs="仿宋_GB2312"/>
          <w:color w:val="auto"/>
          <w:sz w:val="32"/>
          <w:szCs w:val="32"/>
          <w:lang w:val="en-US" w:eastAsia="zh-CN"/>
        </w:rPr>
        <w:t>项目县</w:t>
      </w:r>
      <w:r>
        <w:rPr>
          <w:rFonts w:hint="eastAsia" w:ascii="仿宋_GB2312" w:hAnsi="仿宋_GB2312" w:eastAsia="仿宋_GB2312" w:cs="仿宋_GB2312"/>
          <w:color w:val="auto"/>
          <w:sz w:val="32"/>
          <w:szCs w:val="32"/>
        </w:rPr>
        <w:t>具备</w:t>
      </w:r>
      <w:r>
        <w:rPr>
          <w:rFonts w:hint="eastAsia" w:ascii="仿宋_GB2312" w:hAnsi="仿宋_GB2312" w:cs="仿宋_GB2312"/>
          <w:color w:val="auto"/>
          <w:sz w:val="32"/>
          <w:szCs w:val="32"/>
          <w:lang w:eastAsia="zh-CN"/>
        </w:rPr>
        <w:t>承担</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eastAsia="zh-CN"/>
        </w:rPr>
        <w:t>目所需的</w:t>
      </w:r>
      <w:r>
        <w:rPr>
          <w:rFonts w:hint="eastAsia" w:ascii="仿宋_GB2312" w:hAnsi="仿宋_GB2312" w:cs="仿宋_GB2312"/>
          <w:color w:val="auto"/>
          <w:sz w:val="32"/>
          <w:szCs w:val="32"/>
          <w:lang w:eastAsia="zh-CN"/>
        </w:rPr>
        <w:t>立地</w:t>
      </w:r>
      <w:r>
        <w:rPr>
          <w:rFonts w:hint="eastAsia" w:ascii="仿宋_GB2312" w:hAnsi="仿宋_GB2312" w:eastAsia="仿宋_GB2312" w:cs="仿宋_GB2312"/>
          <w:color w:val="auto"/>
          <w:sz w:val="32"/>
          <w:szCs w:val="32"/>
          <w:lang w:eastAsia="zh-CN"/>
        </w:rPr>
        <w:t>条件</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kern w:val="0"/>
          <w:sz w:val="32"/>
          <w:szCs w:val="32"/>
          <w:lang w:val="en-US" w:eastAsia="zh-CN"/>
        </w:rPr>
        <w:t>实施主体</w:t>
      </w:r>
      <w:r>
        <w:rPr>
          <w:rFonts w:hint="eastAsia" w:ascii="仿宋_GB2312" w:hAnsi="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人才队伍</w:t>
      </w:r>
      <w:r>
        <w:rPr>
          <w:rFonts w:hint="eastAsia" w:ascii="仿宋_GB2312" w:hAnsi="仿宋_GB2312" w:cs="仿宋_GB2312"/>
          <w:color w:val="auto"/>
          <w:kern w:val="0"/>
          <w:sz w:val="32"/>
          <w:szCs w:val="32"/>
          <w:lang w:val="en-US" w:eastAsia="zh-CN"/>
        </w:rPr>
        <w:t>及</w:t>
      </w:r>
      <w:r>
        <w:rPr>
          <w:rFonts w:hint="eastAsia" w:ascii="仿宋_GB2312" w:hAnsi="仿宋_GB2312" w:eastAsia="仿宋_GB2312" w:cs="仿宋_GB2312"/>
          <w:color w:val="auto"/>
          <w:kern w:val="0"/>
          <w:sz w:val="32"/>
          <w:szCs w:val="32"/>
          <w:lang w:val="en-US" w:eastAsia="zh-CN"/>
        </w:rPr>
        <w:t>组织协调能力</w:t>
      </w:r>
      <w:r>
        <w:rPr>
          <w:rFonts w:hint="eastAsia" w:ascii="仿宋_GB2312" w:hAnsi="仿宋_GB2312" w:cs="仿宋_GB2312"/>
          <w:color w:val="auto"/>
          <w:kern w:val="0"/>
          <w:sz w:val="32"/>
          <w:szCs w:val="32"/>
          <w:lang w:val="en-US" w:eastAsia="zh-CN"/>
        </w:rPr>
        <w:t>，确保项目任务如期完成</w:t>
      </w:r>
      <w:r>
        <w:rPr>
          <w:rFonts w:hint="eastAsia" w:ascii="仿宋_GB2312" w:hAnsi="仿宋_GB2312" w:eastAsia="仿宋_GB2312" w:cs="仿宋_GB2312"/>
          <w:color w:val="auto"/>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color w:val="auto"/>
          <w:sz w:val="32"/>
          <w:szCs w:val="32"/>
          <w:highlight w:val="none"/>
          <w:lang w:val="en-US" w:eastAsia="zh-CN"/>
        </w:rPr>
      </w:pPr>
      <w:r>
        <w:rPr>
          <w:rFonts w:hint="eastAsia" w:ascii="仿宋_GB2312" w:hAnsi="仿宋_GB2312" w:cs="仿宋_GB2312"/>
          <w:color w:val="auto"/>
          <w:kern w:val="0"/>
          <w:sz w:val="32"/>
          <w:szCs w:val="32"/>
          <w:lang w:val="en-US" w:eastAsia="zh-CN"/>
        </w:rPr>
        <w:t>（二）申报项目主体</w:t>
      </w:r>
      <w:r>
        <w:rPr>
          <w:rFonts w:hint="eastAsia" w:ascii="仿宋_GB2312"/>
          <w:color w:val="auto"/>
          <w:sz w:val="32"/>
          <w:szCs w:val="32"/>
          <w:highlight w:val="none"/>
          <w:lang w:val="en-US" w:eastAsia="zh-CN"/>
        </w:rPr>
        <w:t>可同时承担稳定粮食生产等其他粮油生产项目，但项目实施内容、资金补助范围、建设地点等不得重复。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color w:val="auto"/>
          <w:sz w:val="32"/>
          <w:szCs w:val="32"/>
          <w:highlight w:val="none"/>
          <w:lang w:val="en-US" w:eastAsia="zh-CN"/>
        </w:rPr>
      </w:pPr>
      <w:r>
        <w:rPr>
          <w:rFonts w:hint="eastAsia" w:ascii="仿宋_GB2312" w:hAnsi="仿宋_GB2312" w:cs="仿宋_GB2312"/>
          <w:color w:val="auto"/>
          <w:kern w:val="0"/>
          <w:sz w:val="32"/>
          <w:szCs w:val="32"/>
          <w:lang w:val="en-US" w:eastAsia="zh-CN"/>
        </w:rPr>
        <w:t>（三）申报</w:t>
      </w:r>
      <w:r>
        <w:rPr>
          <w:rFonts w:hint="eastAsia" w:ascii="仿宋_GB2312"/>
          <w:color w:val="auto"/>
          <w:sz w:val="32"/>
          <w:szCs w:val="32"/>
          <w:highlight w:val="none"/>
          <w:lang w:val="en-US" w:eastAsia="zh-CN"/>
        </w:rPr>
        <w:t>粮油规模种植主体单产提升项目的主体不得与承担部级绿色高产高效行动项目的主体重复。</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黑体" w:eastAsia="黑体"/>
          <w:color w:val="auto"/>
          <w:sz w:val="32"/>
          <w:szCs w:val="32"/>
          <w:lang w:eastAsia="zh-CN"/>
        </w:rPr>
      </w:pPr>
      <w:r>
        <w:rPr>
          <w:rFonts w:hint="eastAsia" w:ascii="黑体" w:eastAsia="黑体"/>
          <w:color w:val="auto"/>
          <w:sz w:val="32"/>
          <w:szCs w:val="32"/>
          <w:lang w:val="en-US" w:eastAsia="zh-CN"/>
        </w:rPr>
        <w:t>二</w:t>
      </w:r>
      <w:r>
        <w:rPr>
          <w:rFonts w:hint="eastAsia" w:ascii="黑体" w:eastAsia="黑体"/>
          <w:color w:val="auto"/>
          <w:sz w:val="32"/>
          <w:szCs w:val="32"/>
        </w:rPr>
        <w:t>、</w:t>
      </w:r>
      <w:r>
        <w:rPr>
          <w:rFonts w:hint="eastAsia" w:ascii="黑体" w:eastAsia="黑体"/>
          <w:color w:val="auto"/>
          <w:sz w:val="32"/>
          <w:szCs w:val="32"/>
          <w:lang w:eastAsia="zh-CN"/>
        </w:rPr>
        <w:t>年度目标</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黑体" w:eastAsia="黑体"/>
          <w:color w:val="auto"/>
          <w:sz w:val="32"/>
          <w:szCs w:val="32"/>
          <w:lang w:eastAsia="zh-CN"/>
        </w:rPr>
      </w:pPr>
      <w:r>
        <w:rPr>
          <w:rFonts w:hint="eastAsia" w:ascii="仿宋_GB2312"/>
          <w:color w:val="auto"/>
          <w:sz w:val="32"/>
          <w:szCs w:val="32"/>
          <w:lang w:eastAsia="zh-CN"/>
        </w:rPr>
        <w:t>通过</w:t>
      </w:r>
      <w:r>
        <w:rPr>
          <w:rFonts w:hint="eastAsia" w:ascii="仿宋_GB2312" w:cs="黑体"/>
          <w:color w:val="auto"/>
          <w:kern w:val="0"/>
          <w:sz w:val="32"/>
          <w:szCs w:val="32"/>
          <w:lang w:eastAsia="zh-CN"/>
        </w:rPr>
        <w:t>项目实</w:t>
      </w:r>
      <w:r>
        <w:rPr>
          <w:rFonts w:hint="eastAsia" w:ascii="仿宋_GB2312" w:eastAsia="仿宋_GB2312" w:cs="黑体"/>
          <w:color w:val="auto"/>
          <w:kern w:val="0"/>
          <w:sz w:val="32"/>
          <w:szCs w:val="32"/>
        </w:rPr>
        <w:t>施，</w:t>
      </w:r>
      <w:r>
        <w:rPr>
          <w:rFonts w:hint="eastAsia" w:ascii="仿宋_GB2312"/>
          <w:color w:val="auto"/>
          <w:sz w:val="32"/>
          <w:szCs w:val="32"/>
          <w:lang w:val="en-US" w:eastAsia="zh-CN"/>
        </w:rPr>
        <w:t>粮油规模种植主体水稻单产比当地上一年平均亩产高10%以上，油菜等其他粮油作物单产比当地上一年平均亩产高5%以上。</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黑体" w:eastAsia="黑体"/>
          <w:color w:val="auto"/>
          <w:sz w:val="32"/>
          <w:szCs w:val="32"/>
          <w:lang w:val="en-US" w:eastAsia="zh-CN"/>
        </w:rPr>
      </w:pPr>
      <w:r>
        <w:rPr>
          <w:rFonts w:hint="eastAsia" w:ascii="黑体" w:eastAsia="黑体"/>
          <w:color w:val="auto"/>
          <w:sz w:val="32"/>
          <w:szCs w:val="32"/>
          <w:lang w:eastAsia="zh-CN"/>
        </w:rPr>
        <w:t>三、建设</w:t>
      </w:r>
      <w:r>
        <w:rPr>
          <w:rFonts w:hint="eastAsia" w:ascii="黑体" w:eastAsia="黑体"/>
          <w:color w:val="auto"/>
          <w:sz w:val="32"/>
          <w:szCs w:val="32"/>
          <w:lang w:val="en-US" w:eastAsia="zh-CN"/>
        </w:rPr>
        <w:t>内容</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hAnsi="仿宋_GB2312" w:cs="仿宋_GB2312"/>
          <w:color w:val="auto"/>
          <w:sz w:val="32"/>
          <w:szCs w:val="32"/>
          <w:lang w:val="en-US" w:eastAsia="zh-CN" w:bidi="ar-SA"/>
        </w:rPr>
      </w:pPr>
      <w:r>
        <w:rPr>
          <w:rFonts w:hint="eastAsia" w:ascii="仿宋_GB2312"/>
          <w:color w:val="auto"/>
          <w:sz w:val="32"/>
          <w:szCs w:val="32"/>
          <w:highlight w:val="none"/>
          <w:lang w:eastAsia="zh-CN"/>
        </w:rPr>
        <w:t>项目建设内容为</w:t>
      </w:r>
      <w:r>
        <w:rPr>
          <w:rFonts w:hint="eastAsia" w:ascii="仿宋_GB2312"/>
          <w:color w:val="auto"/>
          <w:sz w:val="32"/>
          <w:szCs w:val="32"/>
          <w:highlight w:val="none"/>
          <w:lang w:val="en-US" w:eastAsia="zh-CN"/>
        </w:rPr>
        <w:t>建立粮油作物示范片和购置生产设施设备。</w:t>
      </w:r>
      <w:r>
        <w:rPr>
          <w:rFonts w:hint="eastAsia" w:ascii="仿宋_GB2312"/>
          <w:color w:val="auto"/>
          <w:sz w:val="32"/>
          <w:szCs w:val="32"/>
          <w:highlight w:val="none"/>
          <w:lang w:eastAsia="zh-CN"/>
        </w:rPr>
        <w:t>粮油规模种植主体单个作物</w:t>
      </w:r>
      <w:r>
        <w:rPr>
          <w:rFonts w:hint="eastAsia" w:ascii="仿宋_GB2312"/>
          <w:color w:val="auto"/>
          <w:sz w:val="32"/>
          <w:szCs w:val="32"/>
          <w:highlight w:val="none"/>
          <w:lang w:val="en-US" w:eastAsia="zh-CN"/>
        </w:rPr>
        <w:t>示范面积须</w:t>
      </w:r>
      <w:r>
        <w:rPr>
          <w:rFonts w:hint="eastAsia" w:ascii="仿宋_GB2312" w:hAnsi="仿宋_GB2312" w:cs="仿宋_GB2312"/>
          <w:color w:val="auto"/>
          <w:sz w:val="32"/>
          <w:szCs w:val="32"/>
          <w:lang w:val="en-US" w:eastAsia="zh-CN" w:bidi="ar-SA"/>
        </w:rPr>
        <w:t>相对集中连片30亩及以上。实施主体购置播种育秧流水线、高性能插秧机（含钵苗移栽机）等设备的</w:t>
      </w:r>
      <w:r>
        <w:rPr>
          <w:rFonts w:hint="eastAsia" w:ascii="仿宋_GB2312"/>
          <w:color w:val="auto"/>
          <w:sz w:val="32"/>
          <w:szCs w:val="32"/>
          <w:highlight w:val="none"/>
          <w:lang w:eastAsia="zh-CN"/>
        </w:rPr>
        <w:t>财政</w:t>
      </w:r>
      <w:r>
        <w:rPr>
          <w:rFonts w:hint="eastAsia" w:ascii="仿宋_GB2312" w:eastAsia="仿宋_GB2312" w:cs="Times New Roman"/>
          <w:b w:val="0"/>
          <w:bCs w:val="0"/>
          <w:color w:val="auto"/>
          <w:sz w:val="32"/>
          <w:szCs w:val="32"/>
          <w:highlight w:val="none"/>
          <w:u w:val="none"/>
        </w:rPr>
        <w:t>补助金额</w:t>
      </w:r>
      <w:r>
        <w:rPr>
          <w:rFonts w:hint="eastAsia" w:ascii="仿宋_GB2312" w:cs="Times New Roman"/>
          <w:b w:val="0"/>
          <w:bCs w:val="0"/>
          <w:color w:val="auto"/>
          <w:sz w:val="32"/>
          <w:szCs w:val="32"/>
          <w:highlight w:val="none"/>
          <w:u w:val="none"/>
          <w:lang w:eastAsia="zh-CN"/>
        </w:rPr>
        <w:t>为设备</w:t>
      </w:r>
      <w:r>
        <w:rPr>
          <w:rFonts w:hint="eastAsia" w:ascii="仿宋_GB2312" w:eastAsia="仿宋_GB2312" w:cs="Times New Roman"/>
          <w:b w:val="0"/>
          <w:bCs w:val="0"/>
          <w:color w:val="auto"/>
          <w:sz w:val="32"/>
          <w:szCs w:val="32"/>
          <w:highlight w:val="none"/>
          <w:u w:val="none"/>
        </w:rPr>
        <w:t>投资总额</w:t>
      </w:r>
      <w:bookmarkStart w:id="0" w:name="_GoBack"/>
      <w:bookmarkEnd w:id="0"/>
      <w:r>
        <w:rPr>
          <w:rFonts w:hint="eastAsia" w:ascii="仿宋_GB2312" w:eastAsia="仿宋_GB2312" w:cs="Times New Roman"/>
          <w:b w:val="0"/>
          <w:bCs w:val="0"/>
          <w:color w:val="auto"/>
          <w:sz w:val="32"/>
          <w:szCs w:val="32"/>
          <w:highlight w:val="none"/>
          <w:u w:val="none"/>
        </w:rPr>
        <w:t>的80%</w:t>
      </w:r>
      <w:r>
        <w:rPr>
          <w:rFonts w:hint="eastAsia" w:ascii="仿宋_GB2312" w:cs="Times New Roman"/>
          <w:b w:val="0"/>
          <w:bCs w:val="0"/>
          <w:color w:val="auto"/>
          <w:sz w:val="32"/>
          <w:szCs w:val="32"/>
          <w:highlight w:val="none"/>
          <w:u w:val="none"/>
          <w:lang w:eastAsia="zh-CN"/>
        </w:rPr>
        <w:t>，</w:t>
      </w:r>
      <w:r>
        <w:rPr>
          <w:rFonts w:hint="eastAsia" w:ascii="仿宋_GB2312" w:cs="Times New Roman"/>
          <w:b w:val="0"/>
          <w:bCs w:val="0"/>
          <w:color w:val="auto"/>
          <w:sz w:val="32"/>
          <w:szCs w:val="32"/>
          <w:highlight w:val="none"/>
          <w:u w:val="none"/>
          <w:lang w:val="en-US" w:eastAsia="zh-CN"/>
        </w:rPr>
        <w:t>且单个主体财政补助金额不超过60万元</w:t>
      </w:r>
      <w:r>
        <w:rPr>
          <w:rFonts w:hint="eastAsia" w:ascii="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color w:val="auto"/>
          <w:sz w:val="32"/>
          <w:szCs w:val="32"/>
          <w:lang w:val="en-US" w:eastAsia="zh-CN"/>
        </w:rPr>
      </w:pPr>
      <w:r>
        <w:rPr>
          <w:rFonts w:hint="eastAsia" w:ascii="仿宋_GB2312" w:hAnsi="仿宋_GB2312" w:cs="仿宋_GB2312"/>
          <w:color w:val="auto"/>
          <w:sz w:val="32"/>
          <w:szCs w:val="32"/>
          <w:lang w:val="en-US" w:eastAsia="zh-CN" w:bidi="ar-SA"/>
        </w:rPr>
        <w:t>在示范片</w:t>
      </w:r>
      <w:r>
        <w:rPr>
          <w:rFonts w:hint="eastAsia" w:ascii="仿宋_GB2312"/>
          <w:color w:val="auto"/>
          <w:sz w:val="32"/>
          <w:szCs w:val="32"/>
          <w:lang w:val="en-US" w:eastAsia="zh-CN"/>
        </w:rPr>
        <w:t>集成应用新品种、新农药、新机具、新肥料、新技术等粮油“五新”。水稻上，推广精量播种、精准条播、叠盘暗出苗、工厂化机插育秧、全程机械化、“一喷多促”等技术。大豆（含鲜食大豆、蚕豆）上，推广合理轮作、深松深翻、大垄密植、增施有机肥、病虫害绿色防控、机耕机播机收等技术。玉米上，选用高产、优质、抗病、抗倒品种，推广科学施肥、水肥一体化等配套高产栽培技术。薯类上，选用优质脱毒种薯（苗），推广水旱轮作、增施有机肥、轻简化栽培、稻草覆盖等技术。油菜上，推广合理密植、机械直播、播种流水线育苗、机械化移栽、油菜机烘、分段机收等技术。花生上，推广单粒精播、起垄栽培、地膜覆盖、水肥一体化、机械收获、绿色防控等技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黑体" w:eastAsia="黑体"/>
          <w:color w:val="auto"/>
          <w:sz w:val="32"/>
          <w:szCs w:val="32"/>
        </w:rPr>
      </w:pPr>
      <w:r>
        <w:rPr>
          <w:rFonts w:hint="eastAsia" w:ascii="黑体" w:eastAsia="黑体"/>
          <w:color w:val="auto"/>
          <w:sz w:val="32"/>
          <w:szCs w:val="32"/>
          <w:lang w:val="en-US" w:eastAsia="zh-CN"/>
        </w:rPr>
        <w:t>四、</w:t>
      </w:r>
      <w:r>
        <w:rPr>
          <w:rFonts w:hint="eastAsia" w:ascii="黑体" w:eastAsia="黑体"/>
          <w:color w:val="auto"/>
          <w:sz w:val="32"/>
          <w:szCs w:val="32"/>
        </w:rPr>
        <w:t>申报</w:t>
      </w:r>
      <w:r>
        <w:rPr>
          <w:rFonts w:hint="eastAsia" w:ascii="黑体" w:eastAsia="黑体"/>
          <w:color w:val="auto"/>
          <w:sz w:val="32"/>
          <w:szCs w:val="32"/>
          <w:lang w:val="en-US" w:eastAsia="zh-CN"/>
        </w:rPr>
        <w:t>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59" w:firstLineChars="206"/>
        <w:textAlignment w:val="auto"/>
        <w:rPr>
          <w:rFonts w:hint="eastAsia" w:ascii="仿宋_GB2312"/>
          <w:color w:val="auto"/>
          <w:sz w:val="32"/>
          <w:szCs w:val="32"/>
          <w:lang w:val="en-US" w:eastAsia="zh-CN"/>
        </w:rPr>
      </w:pPr>
      <w:r>
        <w:rPr>
          <w:rFonts w:hint="eastAsia" w:ascii="仿宋_GB2312"/>
          <w:color w:val="auto"/>
          <w:kern w:val="0"/>
          <w:sz w:val="32"/>
          <w:szCs w:val="32"/>
          <w:lang w:val="en-US" w:eastAsia="zh-CN"/>
        </w:rPr>
        <w:t>项目县</w:t>
      </w:r>
      <w:r>
        <w:rPr>
          <w:rFonts w:hint="eastAsia" w:ascii="仿宋_GB2312" w:eastAsia="仿宋_GB2312"/>
          <w:color w:val="auto"/>
          <w:kern w:val="0"/>
          <w:sz w:val="32"/>
          <w:szCs w:val="32"/>
          <w:lang w:val="en-US" w:eastAsia="zh-CN"/>
        </w:rPr>
        <w:t>按</w:t>
      </w:r>
      <w:r>
        <w:rPr>
          <w:rFonts w:hint="eastAsia" w:ascii="仿宋_GB2312"/>
          <w:color w:val="auto"/>
          <w:kern w:val="0"/>
          <w:sz w:val="32"/>
          <w:szCs w:val="32"/>
          <w:lang w:val="en-US" w:eastAsia="zh-CN"/>
        </w:rPr>
        <w:t>照要求</w:t>
      </w:r>
      <w:r>
        <w:rPr>
          <w:rFonts w:hint="eastAsia" w:ascii="仿宋_GB2312" w:eastAsia="仿宋_GB2312"/>
          <w:color w:val="auto"/>
          <w:kern w:val="0"/>
          <w:sz w:val="32"/>
          <w:szCs w:val="32"/>
          <w:lang w:val="en-US" w:eastAsia="zh-CN"/>
        </w:rPr>
        <w:t>提交</w:t>
      </w:r>
      <w:r>
        <w:rPr>
          <w:rFonts w:hint="eastAsia" w:ascii="仿宋_GB2312"/>
          <w:color w:val="auto"/>
          <w:kern w:val="0"/>
          <w:sz w:val="32"/>
          <w:szCs w:val="32"/>
          <w:lang w:val="en-US" w:eastAsia="zh-CN"/>
        </w:rPr>
        <w:t>项目申报有关材料（附件6-1、6-2）</w:t>
      </w:r>
      <w:r>
        <w:rPr>
          <w:rFonts w:hint="eastAsia" w:ascii="仿宋_GB2312"/>
          <w:color w:val="auto"/>
          <w:sz w:val="32"/>
          <w:szCs w:val="32"/>
          <w:lang w:eastAsia="zh-CN"/>
        </w:rPr>
        <w:t>，</w:t>
      </w:r>
      <w:r>
        <w:rPr>
          <w:rFonts w:hint="eastAsia" w:ascii="仿宋_GB2312"/>
          <w:color w:val="auto"/>
          <w:sz w:val="32"/>
          <w:szCs w:val="32"/>
          <w:highlight w:val="none"/>
          <w:lang w:val="en-US" w:eastAsia="zh-CN"/>
        </w:rPr>
        <w:t>县级农业农村部门于</w:t>
      </w:r>
      <w:r>
        <w:rPr>
          <w:rFonts w:hint="eastAsia" w:ascii="仿宋_GB2312"/>
          <w:color w:val="auto"/>
          <w:sz w:val="32"/>
          <w:szCs w:val="32"/>
          <w:lang w:val="en-US" w:eastAsia="zh-CN"/>
        </w:rPr>
        <w:t>11</w:t>
      </w:r>
      <w:r>
        <w:rPr>
          <w:rFonts w:hint="eastAsia" w:ascii="仿宋_GB2312"/>
          <w:color w:val="auto"/>
          <w:sz w:val="32"/>
          <w:szCs w:val="32"/>
          <w:highlight w:val="none"/>
          <w:lang w:val="en-US" w:eastAsia="zh-CN"/>
        </w:rPr>
        <w:t>月25日前行文上报设区市，设区市农业农村部门汇总盖章后于</w:t>
      </w:r>
      <w:r>
        <w:rPr>
          <w:rFonts w:hint="eastAsia" w:ascii="仿宋_GB2312"/>
          <w:color w:val="auto"/>
          <w:sz w:val="32"/>
          <w:szCs w:val="32"/>
          <w:lang w:val="en-US" w:eastAsia="zh-CN"/>
        </w:rPr>
        <w:t>11</w:t>
      </w:r>
      <w:r>
        <w:rPr>
          <w:rFonts w:hint="eastAsia" w:ascii="仿宋_GB2312"/>
          <w:color w:val="auto"/>
          <w:sz w:val="32"/>
          <w:szCs w:val="32"/>
          <w:highlight w:val="none"/>
          <w:lang w:val="en-US" w:eastAsia="zh-CN"/>
        </w:rPr>
        <w:t>月30日前上报省农业农村厅，</w:t>
      </w:r>
      <w:r>
        <w:rPr>
          <w:rFonts w:hint="eastAsia" w:ascii="仿宋_GB2312"/>
          <w:color w:val="auto"/>
          <w:kern w:val="0"/>
          <w:sz w:val="32"/>
          <w:szCs w:val="32"/>
          <w:lang w:val="en-US" w:eastAsia="zh-CN"/>
        </w:rPr>
        <w:t>省级经组织专家评审、综合评估后，项目县名单及具体实施内容按程序确定</w:t>
      </w:r>
      <w:r>
        <w:rPr>
          <w:rFonts w:hint="eastAsia" w:ascii="仿宋_GB2312" w:cs="仿宋"/>
          <w:color w:val="auto"/>
          <w:sz w:val="32"/>
          <w:szCs w:val="32"/>
          <w:lang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黑体" w:hAnsi="黑体" w:eastAsia="黑体" w:cs="黑体"/>
          <w:color w:val="auto"/>
          <w:sz w:val="32"/>
          <w:szCs w:val="32"/>
          <w:lang w:val="en-US" w:eastAsia="zh-CN"/>
        </w:rPr>
        <w:t>五、联系方式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w:t>
      </w:r>
      <w:r>
        <w:rPr>
          <w:rFonts w:hint="eastAsia" w:ascii="仿宋_GB2312" w:hAnsi="仿宋_GB2312" w:cs="仿宋_GB2312"/>
          <w:color w:val="auto"/>
          <w:sz w:val="32"/>
          <w:szCs w:val="32"/>
          <w:lang w:val="en-US" w:eastAsia="zh-CN"/>
        </w:rPr>
        <w:t>林武、王琛</w:t>
      </w:r>
      <w:r>
        <w:rPr>
          <w:rFonts w:hint="eastAsia" w:ascii="仿宋_GB2312" w:hAnsi="仿宋_GB2312" w:eastAsia="仿宋_GB2312" w:cs="仿宋_GB2312"/>
          <w:color w:val="auto"/>
          <w:sz w:val="32"/>
          <w:szCs w:val="32"/>
          <w:lang w:val="en-US" w:eastAsia="zh-CN"/>
        </w:rPr>
        <w:t>，联系电话：0591-87811903</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邮箱：</w:t>
      </w:r>
      <w:r>
        <w:rPr>
          <w:rFonts w:hint="eastAsia" w:ascii="仿宋_GB2312" w:hAnsi="仿宋_GB2312" w:cs="仿宋_GB2312"/>
          <w:color w:val="auto"/>
          <w:sz w:val="32"/>
          <w:szCs w:val="32"/>
          <w:lang w:val="en-US" w:eastAsia="zh-CN"/>
        </w:rPr>
        <w:t>LYK</w:t>
      </w:r>
      <w:r>
        <w:rPr>
          <w:rFonts w:hint="eastAsia" w:ascii="仿宋_GB2312" w:hAnsi="仿宋_GB2312" w:eastAsia="仿宋_GB2312" w:cs="仿宋_GB2312"/>
          <w:color w:val="auto"/>
          <w:sz w:val="32"/>
          <w:szCs w:val="32"/>
          <w:lang w:val="en-US" w:eastAsia="zh-CN"/>
        </w:rPr>
        <w:t>87811903</w:t>
      </w:r>
      <w:r>
        <w:rPr>
          <w:rFonts w:hint="eastAsia" w:asciiTheme="minorEastAsia" w:hAnsiTheme="minorEastAsia" w:eastAsiaTheme="minorEastAsia" w:cstheme="minorEastAsia"/>
          <w:color w:val="auto"/>
          <w:sz w:val="32"/>
          <w:szCs w:val="32"/>
          <w:lang w:val="en-US" w:eastAsia="zh-CN"/>
        </w:rPr>
        <w:t>@</w:t>
      </w:r>
      <w:r>
        <w:rPr>
          <w:rFonts w:hint="eastAsia" w:ascii="仿宋_GB2312" w:hAnsi="仿宋_GB2312" w:eastAsia="仿宋_GB2312" w:cs="仿宋_GB2312"/>
          <w:color w:val="auto"/>
          <w:sz w:val="32"/>
          <w:szCs w:val="32"/>
          <w:lang w:val="en-US" w:eastAsia="zh-CN"/>
        </w:rPr>
        <w:t>163.com。</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20" w:firstLineChars="200"/>
        <w:textAlignment w:val="auto"/>
        <w:rPr>
          <w:rFonts w:hint="eastAsia" w:ascii="仿宋_GB2312"/>
          <w:color w:val="auto"/>
          <w:sz w:val="31"/>
          <w:szCs w:val="3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59" w:firstLineChars="206"/>
        <w:textAlignment w:val="auto"/>
        <w:rPr>
          <w:rFonts w:hint="default" w:ascii="仿宋_GB2312"/>
          <w:color w:val="auto"/>
          <w:kern w:val="0"/>
          <w:sz w:val="32"/>
          <w:szCs w:val="32"/>
          <w:lang w:val="en-US" w:eastAsia="zh-CN"/>
        </w:rPr>
      </w:pPr>
      <w:r>
        <w:rPr>
          <w:rFonts w:hint="eastAsia" w:ascii="仿宋_GB2312"/>
          <w:color w:val="auto"/>
          <w:kern w:val="0"/>
          <w:sz w:val="32"/>
          <w:szCs w:val="32"/>
          <w:lang w:val="en-US" w:eastAsia="zh-CN"/>
        </w:rPr>
        <w:t>附件</w:t>
      </w:r>
      <w:r>
        <w:rPr>
          <w:rFonts w:hint="default" w:ascii="仿宋_GB2312"/>
          <w:color w:val="auto"/>
          <w:kern w:val="0"/>
          <w:sz w:val="32"/>
          <w:szCs w:val="32"/>
          <w:lang w:val="en-US" w:eastAsia="zh-CN"/>
        </w:rPr>
        <w:t>：</w:t>
      </w:r>
      <w:r>
        <w:rPr>
          <w:rFonts w:hint="eastAsia" w:ascii="仿宋_GB2312"/>
          <w:color w:val="auto"/>
          <w:kern w:val="0"/>
          <w:sz w:val="32"/>
          <w:szCs w:val="32"/>
          <w:lang w:val="en-US" w:eastAsia="zh-CN"/>
        </w:rPr>
        <w:t>6-</w:t>
      </w:r>
      <w:r>
        <w:rPr>
          <w:rFonts w:hint="default" w:ascii="仿宋_GB2312"/>
          <w:color w:val="auto"/>
          <w:kern w:val="0"/>
          <w:sz w:val="32"/>
          <w:szCs w:val="32"/>
          <w:lang w:val="en-US" w:eastAsia="zh-CN"/>
        </w:rPr>
        <w:t>1</w:t>
      </w:r>
      <w:r>
        <w:rPr>
          <w:rFonts w:hint="eastAsia" w:ascii="仿宋_GB2312"/>
          <w:color w:val="auto"/>
          <w:kern w:val="0"/>
          <w:sz w:val="32"/>
          <w:szCs w:val="32"/>
          <w:lang w:val="en-US" w:eastAsia="zh-CN"/>
        </w:rPr>
        <w:t>.粮油规模种植主体单产提升项目</w:t>
      </w:r>
      <w:r>
        <w:rPr>
          <w:rFonts w:hint="default" w:ascii="仿宋_GB2312"/>
          <w:color w:val="auto"/>
          <w:kern w:val="0"/>
          <w:sz w:val="32"/>
          <w:szCs w:val="32"/>
          <w:lang w:val="en-US" w:eastAsia="zh-CN"/>
        </w:rPr>
        <w:t>申报书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1619" w:firstLineChars="506"/>
        <w:textAlignment w:val="auto"/>
        <w:rPr>
          <w:rFonts w:hint="eastAsia" w:ascii="仿宋_GB2312"/>
          <w:color w:val="auto"/>
          <w:kern w:val="0"/>
          <w:sz w:val="32"/>
          <w:szCs w:val="32"/>
          <w:lang w:val="en-US" w:eastAsia="zh-CN"/>
        </w:rPr>
      </w:pPr>
      <w:r>
        <w:rPr>
          <w:rFonts w:hint="eastAsia" w:ascii="仿宋_GB2312"/>
          <w:color w:val="auto"/>
          <w:kern w:val="0"/>
          <w:sz w:val="32"/>
          <w:szCs w:val="32"/>
          <w:lang w:val="en-US" w:eastAsia="zh-CN"/>
        </w:rPr>
        <w:t>6-</w:t>
      </w:r>
      <w:r>
        <w:rPr>
          <w:rFonts w:hint="default" w:ascii="仿宋_GB2312"/>
          <w:color w:val="auto"/>
          <w:kern w:val="0"/>
          <w:sz w:val="32"/>
          <w:szCs w:val="32"/>
          <w:lang w:val="en-US" w:eastAsia="zh-CN"/>
        </w:rPr>
        <w:t>2</w:t>
      </w:r>
      <w:r>
        <w:rPr>
          <w:rFonts w:hint="eastAsia" w:ascii="仿宋_GB2312"/>
          <w:color w:val="auto"/>
          <w:kern w:val="0"/>
          <w:sz w:val="32"/>
          <w:szCs w:val="32"/>
          <w:lang w:val="en-US" w:eastAsia="zh-CN"/>
        </w:rPr>
        <w:t>.</w:t>
      </w:r>
      <w:r>
        <w:rPr>
          <w:rFonts w:hint="default" w:ascii="仿宋_GB2312"/>
          <w:color w:val="auto"/>
          <w:kern w:val="0"/>
          <w:sz w:val="32"/>
          <w:szCs w:val="32"/>
          <w:lang w:val="en-US" w:eastAsia="zh-CN"/>
        </w:rPr>
        <w:t>202</w:t>
      </w:r>
      <w:r>
        <w:rPr>
          <w:rFonts w:hint="eastAsia" w:ascii="仿宋_GB2312"/>
          <w:color w:val="auto"/>
          <w:kern w:val="0"/>
          <w:sz w:val="32"/>
          <w:szCs w:val="32"/>
          <w:lang w:val="en-US" w:eastAsia="zh-CN"/>
        </w:rPr>
        <w:t>6</w:t>
      </w:r>
      <w:r>
        <w:rPr>
          <w:rFonts w:hint="default" w:ascii="仿宋_GB2312"/>
          <w:color w:val="auto"/>
          <w:kern w:val="0"/>
          <w:sz w:val="32"/>
          <w:szCs w:val="32"/>
          <w:lang w:val="en-US" w:eastAsia="zh-CN"/>
        </w:rPr>
        <w:t>年</w:t>
      </w:r>
      <w:r>
        <w:rPr>
          <w:rFonts w:hint="eastAsia" w:ascii="仿宋_GB2312"/>
          <w:color w:val="auto"/>
          <w:kern w:val="0"/>
          <w:sz w:val="32"/>
          <w:szCs w:val="32"/>
          <w:lang w:val="en-US" w:eastAsia="zh-CN"/>
        </w:rPr>
        <w:t>粮油</w:t>
      </w:r>
      <w:r>
        <w:rPr>
          <w:rFonts w:hint="default" w:ascii="仿宋_GB2312"/>
          <w:color w:val="auto"/>
          <w:kern w:val="0"/>
          <w:sz w:val="32"/>
          <w:szCs w:val="32"/>
          <w:lang w:val="en-US" w:eastAsia="zh-CN"/>
        </w:rPr>
        <w:t>规模种植主体单产提升项目申报表</w:t>
      </w:r>
    </w:p>
    <w:sectPr>
      <w:footerReference r:id="rId3" w:type="default"/>
      <w:pgSz w:w="11907" w:h="16840"/>
      <w:pgMar w:top="1984" w:right="1361" w:bottom="1417" w:left="1531" w:header="851" w:footer="1020" w:gutter="0"/>
      <w:pgNumType w:fmt="decimal" w:start="28"/>
      <w:cols w:space="720" w:num="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HorizontalSpacing w:val="16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YzZkMTE4ZTQyNDM3YmNiNWJhMzNjMjRiMDdjMzMifQ=="/>
  </w:docVars>
  <w:rsids>
    <w:rsidRoot w:val="005F1BA2"/>
    <w:rsid w:val="0FEE9ECA"/>
    <w:rsid w:val="11E6010F"/>
    <w:rsid w:val="17026ACC"/>
    <w:rsid w:val="177992E6"/>
    <w:rsid w:val="17BB2D26"/>
    <w:rsid w:val="17EF0F98"/>
    <w:rsid w:val="1A476E95"/>
    <w:rsid w:val="1DDB41E5"/>
    <w:rsid w:val="1F760163"/>
    <w:rsid w:val="1FF7A2E6"/>
    <w:rsid w:val="1FFF2819"/>
    <w:rsid w:val="279F58CB"/>
    <w:rsid w:val="2CE7F223"/>
    <w:rsid w:val="2EDF74CC"/>
    <w:rsid w:val="35661794"/>
    <w:rsid w:val="3BFD4D03"/>
    <w:rsid w:val="3C2969C7"/>
    <w:rsid w:val="3C3E2B0D"/>
    <w:rsid w:val="3EFF83DA"/>
    <w:rsid w:val="3FEDD65A"/>
    <w:rsid w:val="40CE6681"/>
    <w:rsid w:val="47F737BE"/>
    <w:rsid w:val="4AC156E7"/>
    <w:rsid w:val="4B8B5E18"/>
    <w:rsid w:val="4BDD3C9C"/>
    <w:rsid w:val="4F5F25F6"/>
    <w:rsid w:val="4FA5A8DF"/>
    <w:rsid w:val="50BD2630"/>
    <w:rsid w:val="533D4080"/>
    <w:rsid w:val="57B73757"/>
    <w:rsid w:val="5AD03004"/>
    <w:rsid w:val="5BC745BA"/>
    <w:rsid w:val="5BD4308B"/>
    <w:rsid w:val="5BD65DD9"/>
    <w:rsid w:val="5EE33418"/>
    <w:rsid w:val="5F5F7A90"/>
    <w:rsid w:val="5FE1F5DE"/>
    <w:rsid w:val="65A13A93"/>
    <w:rsid w:val="6779E094"/>
    <w:rsid w:val="67EF25DB"/>
    <w:rsid w:val="6A9EE912"/>
    <w:rsid w:val="6B77A113"/>
    <w:rsid w:val="6BCFD5FA"/>
    <w:rsid w:val="6CFBF431"/>
    <w:rsid w:val="6D46160F"/>
    <w:rsid w:val="6DB374DD"/>
    <w:rsid w:val="6ED76FC8"/>
    <w:rsid w:val="6FBA4C8B"/>
    <w:rsid w:val="6FBF63A3"/>
    <w:rsid w:val="6FBFEFA5"/>
    <w:rsid w:val="6FF61C7D"/>
    <w:rsid w:val="707F0B43"/>
    <w:rsid w:val="73AF2950"/>
    <w:rsid w:val="74FB764F"/>
    <w:rsid w:val="755A3040"/>
    <w:rsid w:val="76DFEC89"/>
    <w:rsid w:val="776FCC3B"/>
    <w:rsid w:val="77E14EFD"/>
    <w:rsid w:val="77EFEC91"/>
    <w:rsid w:val="78B92A8C"/>
    <w:rsid w:val="78D6123B"/>
    <w:rsid w:val="79DE6991"/>
    <w:rsid w:val="79FFB62F"/>
    <w:rsid w:val="7A8C48BA"/>
    <w:rsid w:val="7AFE35F3"/>
    <w:rsid w:val="7AFFDD94"/>
    <w:rsid w:val="7BB5BB6F"/>
    <w:rsid w:val="7BDB44C9"/>
    <w:rsid w:val="7BDF97C0"/>
    <w:rsid w:val="7BE7A68F"/>
    <w:rsid w:val="7BFE150D"/>
    <w:rsid w:val="7BFFB32B"/>
    <w:rsid w:val="7D706B44"/>
    <w:rsid w:val="7DB517E2"/>
    <w:rsid w:val="7DDDFE04"/>
    <w:rsid w:val="7E12266F"/>
    <w:rsid w:val="7EFAEB65"/>
    <w:rsid w:val="7F2FF4A9"/>
    <w:rsid w:val="7F6EB0B5"/>
    <w:rsid w:val="7FEAEF82"/>
    <w:rsid w:val="7FEB299C"/>
    <w:rsid w:val="7FEF408C"/>
    <w:rsid w:val="7FF47ACF"/>
    <w:rsid w:val="7FFD6A12"/>
    <w:rsid w:val="7FFEB0B3"/>
    <w:rsid w:val="7FFEE4B0"/>
    <w:rsid w:val="839E1FD0"/>
    <w:rsid w:val="8BF7E2DE"/>
    <w:rsid w:val="9BD764EA"/>
    <w:rsid w:val="9C77BD9D"/>
    <w:rsid w:val="9E795886"/>
    <w:rsid w:val="9EF7D81D"/>
    <w:rsid w:val="A3FD3950"/>
    <w:rsid w:val="AFDF8E58"/>
    <w:rsid w:val="B738C3F7"/>
    <w:rsid w:val="B7BD3A62"/>
    <w:rsid w:val="B7FAFE93"/>
    <w:rsid w:val="BBFFD4F5"/>
    <w:rsid w:val="BFDF5ADE"/>
    <w:rsid w:val="CFAB9A29"/>
    <w:rsid w:val="CFC7375F"/>
    <w:rsid w:val="D37FDF6E"/>
    <w:rsid w:val="D3F75C63"/>
    <w:rsid w:val="DBBFDDD3"/>
    <w:rsid w:val="DDE718B4"/>
    <w:rsid w:val="DDFD27CA"/>
    <w:rsid w:val="DEFF3EAE"/>
    <w:rsid w:val="DFEF4B17"/>
    <w:rsid w:val="E3AFE6C1"/>
    <w:rsid w:val="E5FF49CA"/>
    <w:rsid w:val="E67FDAFA"/>
    <w:rsid w:val="E7FFA815"/>
    <w:rsid w:val="EB5DFA4F"/>
    <w:rsid w:val="ECE7F5BD"/>
    <w:rsid w:val="EEFE03FF"/>
    <w:rsid w:val="EEFE169F"/>
    <w:rsid w:val="F1D58E9A"/>
    <w:rsid w:val="F2FF04B4"/>
    <w:rsid w:val="F4370FF4"/>
    <w:rsid w:val="F647731C"/>
    <w:rsid w:val="F74F7A09"/>
    <w:rsid w:val="F7D98257"/>
    <w:rsid w:val="F7F612E6"/>
    <w:rsid w:val="F7FE2614"/>
    <w:rsid w:val="F95B4C2F"/>
    <w:rsid w:val="FAFFA480"/>
    <w:rsid w:val="FB3F502C"/>
    <w:rsid w:val="FBE7E104"/>
    <w:rsid w:val="FD732ED3"/>
    <w:rsid w:val="FDA75C7B"/>
    <w:rsid w:val="FEFDE6CC"/>
    <w:rsid w:val="FF590BED"/>
    <w:rsid w:val="FF7E3E23"/>
    <w:rsid w:val="FFD9DE72"/>
    <w:rsid w:val="FFDF20E9"/>
    <w:rsid w:val="FFEBF222"/>
    <w:rsid w:val="FFFFB7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Arial"/>
      <w:sz w:val="18"/>
      <w:szCs w:val="18"/>
      <w:lang w:bidi="ar-SA"/>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Calibri" w:hAnsi="Calibri" w:eastAsia="宋体" w:cs="Arial"/>
      <w:sz w:val="18"/>
      <w:szCs w:val="18"/>
      <w:lang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种植业</Company>
  <Pages>2</Pages>
  <Words>832</Words>
  <Characters>906</Characters>
  <TotalTime>16</TotalTime>
  <ScaleCrop>false</ScaleCrop>
  <LinksUpToDate>false</LinksUpToDate>
  <CharactersWithSpaces>906</CharactersWithSpaces>
  <Application>WPS Office_11.8.2.10290_F1E327BC-269C-435d-A152-05C5408002CA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2019-10-31T23:09:00Z</dcterms:created>
  <dc:creator>601FZW</dc:creator>
  <cp:lastModifiedBy>打印室2</cp:lastModifiedBy>
  <cp:lastPrinted>2025-11-10T11:18:38Z</cp:lastPrinted>
  <dcterms:modified xsi:type="dcterms:W3CDTF">2025-11-10T11:18:40Z</dcterms:modified>
  <dc:title>2019年福建省粮食产能区增产模式攻关</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vt:lpwstr>2052-11.1.0.11365</vt:lpwstr>
  </property>
  <property fmtid="{D5CDD505-2E9C-101B-9397-08002B2CF9AE}" pid="3" name="KSOProductBuildVer">
    <vt:lpwstr>2052-11.8.2.10290</vt:lpwstr>
  </property>
  <property fmtid="{D5CDD505-2E9C-101B-9397-08002B2CF9AE}" pid="4" name="ICV">
    <vt:lpwstr>3411FC443C79B3E33C6D0C69EBB16CA4_43</vt:lpwstr>
  </property>
</Properties>
</file>