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jc w:val="center"/>
        <w:rPr>
          <w:rFonts w:ascii="仿宋_GB2312"/>
          <w:b/>
          <w:bCs/>
          <w:sz w:val="36"/>
          <w:szCs w:val="36"/>
        </w:rPr>
      </w:pPr>
    </w:p>
    <w:p>
      <w:pPr>
        <w:ind w:firstLine="0" w:firstLineChars="0"/>
        <w:jc w:val="center"/>
        <w:rPr>
          <w:rFonts w:ascii="仿宋_GB2312"/>
          <w:b/>
          <w:bCs/>
          <w:sz w:val="36"/>
          <w:szCs w:val="36"/>
        </w:rPr>
      </w:pPr>
    </w:p>
    <w:p>
      <w:pPr>
        <w:spacing w:line="480" w:lineRule="auto"/>
        <w:ind w:firstLine="0" w:firstLineChars="0"/>
        <w:jc w:val="center"/>
        <w:rPr>
          <w:rFonts w:ascii="仿宋_GB2312"/>
          <w:b/>
          <w:bCs/>
          <w:sz w:val="36"/>
          <w:szCs w:val="36"/>
        </w:rPr>
      </w:pPr>
    </w:p>
    <w:p>
      <w:pPr>
        <w:spacing w:line="720" w:lineRule="auto"/>
        <w:ind w:firstLine="0" w:firstLineChars="0"/>
        <w:jc w:val="center"/>
        <w:rPr>
          <w:rFonts w:ascii="仿宋_GB2312"/>
          <w:b/>
          <w:bCs/>
          <w:sz w:val="36"/>
          <w:szCs w:val="36"/>
        </w:rPr>
      </w:pPr>
      <w:bookmarkStart w:id="0" w:name="_Hlk204719953"/>
      <w:r>
        <w:rPr>
          <w:rFonts w:hint="eastAsia" w:ascii="仿宋_GB2312"/>
          <w:b/>
          <w:bCs/>
          <w:sz w:val="36"/>
          <w:szCs w:val="36"/>
        </w:rPr>
        <w:t>闽清县</w:t>
      </w:r>
      <w:bookmarkStart w:id="1" w:name="OLE_LINK22"/>
      <w:r>
        <w:rPr>
          <w:rFonts w:hint="eastAsia" w:ascii="仿宋_GB2312"/>
          <w:b/>
          <w:bCs/>
          <w:sz w:val="36"/>
          <w:szCs w:val="36"/>
        </w:rPr>
        <w:t>“十五五”畜牧业高质量发展专项规划</w:t>
      </w:r>
      <w:bookmarkEnd w:id="1"/>
    </w:p>
    <w:p>
      <w:pPr>
        <w:spacing w:line="480" w:lineRule="auto"/>
        <w:ind w:firstLine="0" w:firstLineChars="0"/>
        <w:jc w:val="center"/>
        <w:rPr>
          <w:rFonts w:hint="eastAsia" w:ascii="仿宋_GB2312" w:eastAsia="仿宋_GB2312"/>
          <w:b/>
          <w:bCs/>
          <w:sz w:val="36"/>
          <w:szCs w:val="36"/>
          <w:lang w:val="en-US" w:eastAsia="zh-CN"/>
        </w:rPr>
      </w:pPr>
      <w:r>
        <w:rPr>
          <w:rFonts w:hint="eastAsia" w:ascii="仿宋_GB2312"/>
          <w:b/>
          <w:bCs/>
          <w:sz w:val="36"/>
          <w:szCs w:val="36"/>
        </w:rPr>
        <w:t>（2026-2030年）</w:t>
      </w:r>
      <w:r>
        <w:rPr>
          <w:rFonts w:hint="eastAsia" w:ascii="仿宋_GB2312"/>
          <w:b/>
          <w:bCs/>
          <w:sz w:val="36"/>
          <w:szCs w:val="36"/>
          <w:lang w:eastAsia="zh-CN"/>
        </w:rPr>
        <w:t>（征求意见稿）</w:t>
      </w:r>
    </w:p>
    <w:p>
      <w:pPr>
        <w:spacing w:line="480" w:lineRule="auto"/>
        <w:ind w:firstLine="0" w:firstLineChars="0"/>
        <w:jc w:val="center"/>
        <w:rPr>
          <w:rFonts w:hint="eastAsia" w:ascii="仿宋_GB2312"/>
          <w:b/>
          <w:bCs/>
          <w:sz w:val="36"/>
          <w:szCs w:val="36"/>
        </w:rPr>
      </w:pPr>
    </w:p>
    <w:bookmarkEnd w:id="0"/>
    <w:p>
      <w:pPr>
        <w:spacing w:line="480" w:lineRule="auto"/>
        <w:ind w:firstLine="0" w:firstLineChars="0"/>
        <w:jc w:val="center"/>
        <w:rPr>
          <w:rFonts w:ascii="仿宋_GB2312"/>
          <w:b/>
          <w:bCs/>
          <w:sz w:val="36"/>
          <w:szCs w:val="36"/>
        </w:rPr>
      </w:pPr>
    </w:p>
    <w:p>
      <w:pPr>
        <w:spacing w:line="480" w:lineRule="auto"/>
        <w:ind w:firstLine="0" w:firstLineChars="0"/>
        <w:jc w:val="center"/>
        <w:rPr>
          <w:rFonts w:ascii="仿宋_GB2312"/>
          <w:b/>
          <w:bCs/>
          <w:sz w:val="36"/>
          <w:szCs w:val="36"/>
        </w:rPr>
      </w:pPr>
    </w:p>
    <w:p>
      <w:pPr>
        <w:spacing w:line="480" w:lineRule="auto"/>
        <w:ind w:firstLine="0" w:firstLineChars="0"/>
        <w:jc w:val="center"/>
        <w:rPr>
          <w:rFonts w:ascii="仿宋_GB2312"/>
          <w:b/>
          <w:bCs/>
          <w:sz w:val="36"/>
          <w:szCs w:val="36"/>
        </w:rPr>
      </w:pPr>
    </w:p>
    <w:p>
      <w:pPr>
        <w:spacing w:line="480" w:lineRule="auto"/>
        <w:ind w:firstLine="0" w:firstLineChars="0"/>
        <w:jc w:val="center"/>
        <w:rPr>
          <w:rFonts w:ascii="仿宋_GB2312"/>
          <w:b/>
          <w:bCs/>
          <w:sz w:val="36"/>
          <w:szCs w:val="36"/>
        </w:rPr>
      </w:pPr>
    </w:p>
    <w:p>
      <w:pPr>
        <w:spacing w:line="480" w:lineRule="auto"/>
        <w:ind w:firstLine="0" w:firstLineChars="0"/>
        <w:jc w:val="center"/>
        <w:rPr>
          <w:rFonts w:ascii="仿宋_GB2312"/>
          <w:b/>
          <w:bCs/>
          <w:sz w:val="36"/>
          <w:szCs w:val="36"/>
        </w:rPr>
      </w:pPr>
    </w:p>
    <w:p>
      <w:pPr>
        <w:spacing w:line="480" w:lineRule="auto"/>
        <w:ind w:firstLine="0" w:firstLineChars="0"/>
        <w:jc w:val="center"/>
        <w:rPr>
          <w:rFonts w:ascii="仿宋_GB2312"/>
          <w:b/>
          <w:bCs/>
          <w:sz w:val="36"/>
          <w:szCs w:val="36"/>
        </w:rPr>
      </w:pPr>
    </w:p>
    <w:p>
      <w:pPr>
        <w:spacing w:line="480" w:lineRule="auto"/>
        <w:ind w:firstLine="0" w:firstLineChars="0"/>
        <w:jc w:val="center"/>
        <w:rPr>
          <w:rFonts w:ascii="仿宋_GB2312"/>
          <w:b/>
          <w:bCs/>
          <w:sz w:val="36"/>
          <w:szCs w:val="36"/>
        </w:rPr>
      </w:pPr>
    </w:p>
    <w:p>
      <w:pPr>
        <w:spacing w:line="480" w:lineRule="auto"/>
        <w:ind w:firstLine="0" w:firstLineChars="0"/>
        <w:jc w:val="center"/>
        <w:rPr>
          <w:rFonts w:ascii="仿宋_GB2312"/>
          <w:b/>
          <w:bCs/>
          <w:sz w:val="36"/>
          <w:szCs w:val="36"/>
        </w:rPr>
      </w:pPr>
    </w:p>
    <w:p>
      <w:pPr>
        <w:ind w:firstLine="602"/>
        <w:rPr>
          <w:rFonts w:hint="eastAsia" w:ascii="仿宋_GB2312" w:hAnsi="宋体"/>
          <w:b/>
          <w:bCs/>
          <w:szCs w:val="30"/>
        </w:rPr>
      </w:pPr>
      <w:r>
        <w:rPr>
          <w:rFonts w:hint="eastAsia" w:ascii="仿宋_GB2312" w:hAnsi="宋体"/>
          <w:b/>
          <w:bCs/>
          <w:szCs w:val="30"/>
        </w:rPr>
        <w:t>委托单位：闽清县农业农村局</w:t>
      </w:r>
    </w:p>
    <w:p>
      <w:pPr>
        <w:ind w:firstLine="602"/>
        <w:rPr>
          <w:rFonts w:hint="eastAsia" w:ascii="仿宋_GB2312" w:hAnsi="宋体"/>
          <w:b/>
          <w:bCs/>
          <w:szCs w:val="30"/>
        </w:rPr>
      </w:pPr>
      <w:r>
        <w:rPr>
          <w:rFonts w:hint="eastAsia" w:ascii="仿宋_GB2312" w:hAnsi="宋体"/>
          <w:b/>
          <w:bCs/>
          <w:szCs w:val="30"/>
        </w:rPr>
        <w:t>编制单位：福建省农业科学院农业经济与科技信息研究所</w:t>
      </w:r>
    </w:p>
    <w:p>
      <w:pPr>
        <w:spacing w:before="204" w:beforeLines="50" w:after="204" w:afterLines="50" w:line="480" w:lineRule="auto"/>
        <w:ind w:firstLine="0" w:firstLineChars="0"/>
        <w:jc w:val="center"/>
        <w:rPr>
          <w:rFonts w:ascii="仿宋_GB2312"/>
          <w:b/>
          <w:bCs/>
          <w:sz w:val="36"/>
          <w:szCs w:val="36"/>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fmt="numberInDash"/>
          <w:cols w:space="425" w:num="1"/>
          <w:titlePg/>
          <w:docGrid w:type="lines" w:linePitch="408" w:charSpace="0"/>
        </w:sectPr>
      </w:pPr>
      <w:r>
        <w:rPr>
          <w:rFonts w:ascii="仿宋_GB2312"/>
          <w:b/>
          <w:bCs/>
          <w:sz w:val="36"/>
          <w:szCs w:val="36"/>
        </w:rPr>
        <w:t>2026</w:t>
      </w:r>
      <w:r>
        <w:rPr>
          <w:rFonts w:hint="eastAsia" w:ascii="仿宋_GB2312"/>
          <w:b/>
          <w:bCs/>
          <w:sz w:val="36"/>
          <w:szCs w:val="36"/>
        </w:rPr>
        <w:t>年9月</w:t>
      </w:r>
    </w:p>
    <w:p>
      <w:pPr>
        <w:ind w:firstLine="0" w:firstLineChars="0"/>
        <w:jc w:val="center"/>
        <w:rPr>
          <w:rFonts w:ascii="仿宋_GB2312"/>
          <w:b/>
          <w:bCs/>
          <w:sz w:val="36"/>
          <w:szCs w:val="36"/>
        </w:rPr>
      </w:pPr>
      <w:bookmarkStart w:id="2" w:name="_Hlk204719394"/>
      <w:r>
        <w:rPr>
          <w:rFonts w:hint="eastAsia" w:ascii="仿宋_GB2312"/>
          <w:b/>
          <w:bCs/>
          <w:sz w:val="36"/>
          <w:szCs w:val="36"/>
        </w:rPr>
        <w:t>目录</w:t>
      </w:r>
    </w:p>
    <w:bookmarkEnd w:id="2"/>
    <w:p>
      <w:pPr>
        <w:pStyle w:val="18"/>
        <w:tabs>
          <w:tab w:val="right" w:leader="dot" w:pos="8296"/>
        </w:tabs>
        <w:ind w:firstLine="600"/>
        <w:rPr>
          <w:rFonts w:hint="eastAsia" w:eastAsiaTheme="minorEastAsia"/>
          <w:sz w:val="22"/>
          <w:szCs w:val="24"/>
          <w14:ligatures w14:val="standardContextual"/>
        </w:rPr>
      </w:pPr>
      <w:r>
        <w:fldChar w:fldCharType="begin"/>
      </w:r>
      <w:r>
        <w:instrText xml:space="preserve"> TOC \o "1-2" \h \z \u </w:instrText>
      </w:r>
      <w:r>
        <w:fldChar w:fldCharType="separate"/>
      </w:r>
      <w:r>
        <w:fldChar w:fldCharType="begin"/>
      </w:r>
      <w:r>
        <w:instrText xml:space="preserve"> HYPERLINK \l "_Toc240753848" </w:instrText>
      </w:r>
      <w:r>
        <w:fldChar w:fldCharType="separate"/>
      </w:r>
      <w:r>
        <w:rPr>
          <w:rStyle w:val="28"/>
        </w:rPr>
        <w:t>一、前言</w:t>
      </w:r>
      <w:r>
        <w:rPr>
          <w:rFonts w:hint="eastAsia"/>
        </w:rPr>
        <w:tab/>
      </w:r>
      <w:r>
        <w:rPr>
          <w:rFonts w:hint="eastAsia"/>
        </w:rPr>
        <w:fldChar w:fldCharType="begin"/>
      </w:r>
      <w:r>
        <w:rPr>
          <w:rFonts w:hint="eastAsia"/>
        </w:rPr>
        <w:instrText xml:space="preserve"> </w:instrText>
      </w:r>
      <w:r>
        <w:instrText xml:space="preserve">PAGEREF _Toc240753848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pPr>
        <w:pStyle w:val="22"/>
        <w:tabs>
          <w:tab w:val="right" w:leader="dot" w:pos="8296"/>
        </w:tabs>
        <w:ind w:left="600" w:firstLine="600"/>
        <w:rPr>
          <w:rFonts w:hint="eastAsia" w:eastAsiaTheme="minorEastAsia"/>
          <w:sz w:val="22"/>
          <w:szCs w:val="24"/>
          <w14:ligatures w14:val="standardContextual"/>
        </w:rPr>
      </w:pPr>
      <w:r>
        <w:fldChar w:fldCharType="begin"/>
      </w:r>
      <w:r>
        <w:instrText xml:space="preserve"> HYPERLINK \l "_Toc240753849" </w:instrText>
      </w:r>
      <w:r>
        <w:fldChar w:fldCharType="separate"/>
      </w:r>
      <w:r>
        <w:rPr>
          <w:rStyle w:val="28"/>
        </w:rPr>
        <w:t>（一）规划背景</w:t>
      </w:r>
      <w:r>
        <w:rPr>
          <w:rFonts w:hint="eastAsia"/>
        </w:rPr>
        <w:tab/>
      </w:r>
      <w:r>
        <w:rPr>
          <w:rFonts w:hint="eastAsia"/>
        </w:rPr>
        <w:fldChar w:fldCharType="begin"/>
      </w:r>
      <w:r>
        <w:rPr>
          <w:rFonts w:hint="eastAsia"/>
        </w:rPr>
        <w:instrText xml:space="preserve"> </w:instrText>
      </w:r>
      <w:r>
        <w:instrText xml:space="preserve">PAGEREF _Toc240753849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pPr>
        <w:pStyle w:val="22"/>
        <w:tabs>
          <w:tab w:val="right" w:leader="dot" w:pos="8296"/>
        </w:tabs>
        <w:ind w:left="600" w:firstLine="600"/>
        <w:rPr>
          <w:rFonts w:hint="eastAsia" w:eastAsiaTheme="minorEastAsia"/>
          <w:sz w:val="22"/>
          <w:szCs w:val="24"/>
          <w14:ligatures w14:val="standardContextual"/>
        </w:rPr>
      </w:pPr>
      <w:r>
        <w:fldChar w:fldCharType="begin"/>
      </w:r>
      <w:r>
        <w:instrText xml:space="preserve"> HYPERLINK \l "_Toc240753850" </w:instrText>
      </w:r>
      <w:r>
        <w:fldChar w:fldCharType="separate"/>
      </w:r>
      <w:r>
        <w:rPr>
          <w:rStyle w:val="28"/>
        </w:rPr>
        <w:t>（二）发展机遇</w:t>
      </w:r>
      <w:r>
        <w:rPr>
          <w:rFonts w:hint="eastAsia"/>
        </w:rPr>
        <w:tab/>
      </w:r>
      <w:r>
        <w:rPr>
          <w:rFonts w:hint="eastAsia"/>
        </w:rPr>
        <w:fldChar w:fldCharType="begin"/>
      </w:r>
      <w:r>
        <w:rPr>
          <w:rFonts w:hint="eastAsia"/>
        </w:rPr>
        <w:instrText xml:space="preserve"> </w:instrText>
      </w:r>
      <w:r>
        <w:instrText xml:space="preserve">PAGEREF _Toc240753850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pPr>
        <w:pStyle w:val="22"/>
        <w:tabs>
          <w:tab w:val="right" w:leader="dot" w:pos="8296"/>
        </w:tabs>
        <w:ind w:left="600" w:firstLine="600"/>
        <w:rPr>
          <w:rFonts w:hint="eastAsia" w:eastAsiaTheme="minorEastAsia"/>
          <w:sz w:val="22"/>
          <w:szCs w:val="24"/>
          <w14:ligatures w14:val="standardContextual"/>
        </w:rPr>
      </w:pPr>
      <w:r>
        <w:fldChar w:fldCharType="begin"/>
      </w:r>
      <w:r>
        <w:instrText xml:space="preserve"> HYPERLINK \l "_Toc240753851" </w:instrText>
      </w:r>
      <w:r>
        <w:fldChar w:fldCharType="separate"/>
      </w:r>
      <w:r>
        <w:rPr>
          <w:rStyle w:val="28"/>
        </w:rPr>
        <w:t>（三）发展定位</w:t>
      </w:r>
      <w:r>
        <w:rPr>
          <w:rFonts w:hint="eastAsia"/>
        </w:rPr>
        <w:tab/>
      </w:r>
      <w:r>
        <w:rPr>
          <w:rFonts w:hint="eastAsia"/>
        </w:rPr>
        <w:fldChar w:fldCharType="end"/>
      </w:r>
      <w:r>
        <w:rPr>
          <w:rStyle w:val="28"/>
          <w:rFonts w:hint="eastAsia"/>
        </w:rPr>
        <w:t>2</w:t>
      </w:r>
    </w:p>
    <w:p>
      <w:pPr>
        <w:pStyle w:val="22"/>
        <w:tabs>
          <w:tab w:val="right" w:leader="dot" w:pos="8296"/>
        </w:tabs>
        <w:ind w:left="600" w:firstLine="600"/>
        <w:rPr>
          <w:rFonts w:hint="eastAsia" w:eastAsiaTheme="minorEastAsia"/>
          <w:sz w:val="22"/>
          <w:szCs w:val="24"/>
          <w14:ligatures w14:val="standardContextual"/>
        </w:rPr>
      </w:pPr>
      <w:r>
        <w:fldChar w:fldCharType="begin"/>
      </w:r>
      <w:r>
        <w:instrText xml:space="preserve"> HYPERLINK \l "_Toc240753853" </w:instrText>
      </w:r>
      <w:r>
        <w:fldChar w:fldCharType="separate"/>
      </w:r>
      <w:r>
        <w:rPr>
          <w:rStyle w:val="28"/>
          <w:rFonts w:ascii="楷体_GB2312" w:eastAsia="楷体_GB2312"/>
        </w:rPr>
        <w:t>二、“十四五”畜牧业规划回顾</w:t>
      </w:r>
      <w:r>
        <w:rPr>
          <w:rFonts w:hint="eastAsia"/>
        </w:rPr>
        <w:tab/>
      </w:r>
      <w:r>
        <w:rPr>
          <w:rFonts w:hint="eastAsia"/>
        </w:rPr>
        <w:fldChar w:fldCharType="begin"/>
      </w:r>
      <w:r>
        <w:rPr>
          <w:rFonts w:hint="eastAsia"/>
        </w:rPr>
        <w:instrText xml:space="preserve"> </w:instrText>
      </w:r>
      <w:r>
        <w:instrText xml:space="preserve">PAGEREF _Toc240753853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pPr>
        <w:pStyle w:val="22"/>
        <w:tabs>
          <w:tab w:val="right" w:leader="dot" w:pos="8296"/>
        </w:tabs>
        <w:ind w:left="600" w:firstLine="600"/>
        <w:rPr>
          <w:rFonts w:hint="eastAsia" w:eastAsiaTheme="minorEastAsia"/>
          <w:sz w:val="22"/>
          <w:szCs w:val="24"/>
          <w14:ligatures w14:val="standardContextual"/>
        </w:rPr>
      </w:pPr>
      <w:r>
        <w:fldChar w:fldCharType="begin"/>
      </w:r>
      <w:r>
        <w:instrText xml:space="preserve"> HYPERLINK \l "_Toc240753854" </w:instrText>
      </w:r>
      <w:r>
        <w:fldChar w:fldCharType="separate"/>
      </w:r>
      <w:r>
        <w:rPr>
          <w:rStyle w:val="28"/>
        </w:rPr>
        <w:t>（一）主要成效​</w:t>
      </w:r>
      <w:r>
        <w:rPr>
          <w:rFonts w:hint="eastAsia"/>
        </w:rPr>
        <w:tab/>
      </w:r>
      <w:r>
        <w:rPr>
          <w:rFonts w:hint="eastAsia"/>
        </w:rPr>
        <w:fldChar w:fldCharType="begin"/>
      </w:r>
      <w:r>
        <w:rPr>
          <w:rFonts w:hint="eastAsia"/>
        </w:rPr>
        <w:instrText xml:space="preserve"> </w:instrText>
      </w:r>
      <w:r>
        <w:instrText xml:space="preserve">PAGEREF _Toc240753854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pPr>
        <w:pStyle w:val="22"/>
        <w:tabs>
          <w:tab w:val="right" w:leader="dot" w:pos="8296"/>
        </w:tabs>
        <w:ind w:left="600" w:firstLine="600"/>
        <w:rPr>
          <w:rFonts w:hint="eastAsia" w:eastAsiaTheme="minorEastAsia"/>
          <w:sz w:val="22"/>
          <w:szCs w:val="24"/>
          <w14:ligatures w14:val="standardContextual"/>
        </w:rPr>
      </w:pPr>
      <w:r>
        <w:fldChar w:fldCharType="begin"/>
      </w:r>
      <w:r>
        <w:instrText xml:space="preserve"> HYPERLINK \l "_Toc240753855" </w:instrText>
      </w:r>
      <w:r>
        <w:fldChar w:fldCharType="separate"/>
      </w:r>
      <w:r>
        <w:rPr>
          <w:rStyle w:val="28"/>
        </w:rPr>
        <w:t>（二）总目标完成情况</w:t>
      </w:r>
      <w:r>
        <w:rPr>
          <w:rFonts w:hint="eastAsia"/>
        </w:rPr>
        <w:tab/>
      </w:r>
      <w:r>
        <w:rPr>
          <w:rFonts w:hint="eastAsia"/>
        </w:rPr>
        <w:fldChar w:fldCharType="begin"/>
      </w:r>
      <w:r>
        <w:rPr>
          <w:rFonts w:hint="eastAsia"/>
        </w:rPr>
        <w:instrText xml:space="preserve"> </w:instrText>
      </w:r>
      <w:r>
        <w:instrText xml:space="preserve">PAGEREF _Toc240753855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pPr>
        <w:pStyle w:val="22"/>
        <w:tabs>
          <w:tab w:val="right" w:leader="dot" w:pos="8296"/>
        </w:tabs>
        <w:ind w:left="600" w:firstLine="600"/>
        <w:rPr>
          <w:rFonts w:hint="eastAsia" w:eastAsiaTheme="minorEastAsia"/>
          <w:sz w:val="22"/>
          <w:szCs w:val="24"/>
          <w14:ligatures w14:val="standardContextual"/>
        </w:rPr>
      </w:pPr>
      <w:r>
        <w:fldChar w:fldCharType="begin"/>
      </w:r>
      <w:r>
        <w:instrText xml:space="preserve"> HYPERLINK \l "_Toc240753856" </w:instrText>
      </w:r>
      <w:r>
        <w:fldChar w:fldCharType="separate"/>
      </w:r>
      <w:r>
        <w:rPr>
          <w:rStyle w:val="28"/>
        </w:rPr>
        <w:t>（三）产业目标完成情况</w:t>
      </w:r>
      <w:r>
        <w:rPr>
          <w:rFonts w:hint="eastAsia"/>
        </w:rPr>
        <w:tab/>
      </w:r>
      <w:r>
        <w:rPr>
          <w:rFonts w:hint="eastAsia"/>
        </w:rPr>
        <w:fldChar w:fldCharType="begin"/>
      </w:r>
      <w:r>
        <w:rPr>
          <w:rFonts w:hint="eastAsia"/>
        </w:rPr>
        <w:instrText xml:space="preserve"> </w:instrText>
      </w:r>
      <w:r>
        <w:instrText xml:space="preserve">PAGEREF _Toc240753856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pPr>
        <w:pStyle w:val="18"/>
        <w:tabs>
          <w:tab w:val="right" w:leader="dot" w:pos="8296"/>
        </w:tabs>
        <w:ind w:firstLine="600"/>
        <w:rPr>
          <w:rFonts w:hint="eastAsia" w:eastAsiaTheme="minorEastAsia"/>
          <w:sz w:val="22"/>
          <w:szCs w:val="24"/>
          <w14:ligatures w14:val="standardContextual"/>
        </w:rPr>
      </w:pPr>
      <w:r>
        <w:fldChar w:fldCharType="begin"/>
      </w:r>
      <w:r>
        <w:instrText xml:space="preserve"> HYPERLINK \l "_Toc240753857" </w:instrText>
      </w:r>
      <w:r>
        <w:fldChar w:fldCharType="separate"/>
      </w:r>
      <w:r>
        <w:rPr>
          <w:rStyle w:val="28"/>
        </w:rPr>
        <w:t>三、</w:t>
      </w:r>
      <w:r>
        <w:rPr>
          <w:rStyle w:val="28"/>
          <w:rFonts w:ascii="楷体_GB2312" w:eastAsia="楷体_GB2312"/>
        </w:rPr>
        <w:t>“</w:t>
      </w:r>
      <w:r>
        <w:rPr>
          <w:rStyle w:val="28"/>
        </w:rPr>
        <w:t>十五五</w:t>
      </w:r>
      <w:r>
        <w:rPr>
          <w:rStyle w:val="28"/>
          <w:rFonts w:ascii="楷体_GB2312" w:eastAsia="楷体_GB2312"/>
        </w:rPr>
        <w:t>”</w:t>
      </w:r>
      <w:r>
        <w:rPr>
          <w:rStyle w:val="28"/>
        </w:rPr>
        <w:t>畜牧业发展基础分析</w:t>
      </w:r>
      <w:r>
        <w:rPr>
          <w:rFonts w:hint="eastAsia"/>
        </w:rPr>
        <w:tab/>
      </w:r>
      <w:r>
        <w:rPr>
          <w:rFonts w:hint="eastAsia"/>
        </w:rPr>
        <w:fldChar w:fldCharType="begin"/>
      </w:r>
      <w:r>
        <w:rPr>
          <w:rFonts w:hint="eastAsia"/>
        </w:rPr>
        <w:instrText xml:space="preserve"> </w:instrText>
      </w:r>
      <w:r>
        <w:instrText xml:space="preserve">PAGEREF _Toc240753857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22"/>
        <w:tabs>
          <w:tab w:val="right" w:leader="dot" w:pos="8296"/>
        </w:tabs>
        <w:ind w:left="600" w:firstLine="600"/>
        <w:rPr>
          <w:rFonts w:hint="eastAsia" w:eastAsiaTheme="minorEastAsia"/>
          <w:sz w:val="22"/>
          <w:szCs w:val="24"/>
          <w14:ligatures w14:val="standardContextual"/>
        </w:rPr>
      </w:pPr>
      <w:r>
        <w:fldChar w:fldCharType="begin"/>
      </w:r>
      <w:r>
        <w:instrText xml:space="preserve"> HYPERLINK \l "_Toc240753858" </w:instrText>
      </w:r>
      <w:r>
        <w:fldChar w:fldCharType="separate"/>
      </w:r>
      <w:r>
        <w:rPr>
          <w:rStyle w:val="28"/>
          <w:bCs/>
        </w:rPr>
        <w:t>（一）产业现状</w:t>
      </w:r>
      <w:r>
        <w:rPr>
          <w:rFonts w:hint="eastAsia"/>
        </w:rPr>
        <w:tab/>
      </w:r>
      <w:r>
        <w:rPr>
          <w:rFonts w:hint="eastAsia"/>
        </w:rPr>
        <w:fldChar w:fldCharType="begin"/>
      </w:r>
      <w:r>
        <w:rPr>
          <w:rFonts w:hint="eastAsia"/>
        </w:rPr>
        <w:instrText xml:space="preserve"> </w:instrText>
      </w:r>
      <w:r>
        <w:instrText xml:space="preserve">PAGEREF _Toc240753858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22"/>
        <w:tabs>
          <w:tab w:val="right" w:leader="dot" w:pos="8296"/>
        </w:tabs>
        <w:ind w:left="600" w:firstLine="600"/>
        <w:rPr>
          <w:rFonts w:hint="eastAsia" w:eastAsiaTheme="minorEastAsia"/>
          <w:sz w:val="22"/>
          <w:szCs w:val="24"/>
          <w14:ligatures w14:val="standardContextual"/>
        </w:rPr>
      </w:pPr>
      <w:r>
        <w:fldChar w:fldCharType="begin"/>
      </w:r>
      <w:r>
        <w:instrText xml:space="preserve"> HYPERLINK \l "_Toc240753859" </w:instrText>
      </w:r>
      <w:r>
        <w:fldChar w:fldCharType="separate"/>
      </w:r>
      <w:r>
        <w:rPr>
          <w:rStyle w:val="28"/>
          <w:bCs/>
        </w:rPr>
        <w:t>（二）生态与安全基础</w:t>
      </w:r>
      <w:r>
        <w:rPr>
          <w:rFonts w:hint="eastAsia"/>
        </w:rPr>
        <w:tab/>
      </w:r>
      <w:r>
        <w:rPr>
          <w:rFonts w:hint="eastAsia"/>
        </w:rPr>
        <w:fldChar w:fldCharType="begin"/>
      </w:r>
      <w:r>
        <w:rPr>
          <w:rFonts w:hint="eastAsia"/>
        </w:rPr>
        <w:instrText xml:space="preserve"> </w:instrText>
      </w:r>
      <w:r>
        <w:instrText xml:space="preserve">PAGEREF _Toc240753859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pPr>
        <w:pStyle w:val="18"/>
        <w:tabs>
          <w:tab w:val="right" w:leader="dot" w:pos="8296"/>
        </w:tabs>
        <w:ind w:firstLine="600"/>
        <w:rPr>
          <w:rFonts w:hint="eastAsia" w:eastAsiaTheme="minorEastAsia"/>
          <w:sz w:val="22"/>
          <w:szCs w:val="24"/>
          <w14:ligatures w14:val="standardContextual"/>
        </w:rPr>
      </w:pPr>
      <w:r>
        <w:fldChar w:fldCharType="begin"/>
      </w:r>
      <w:r>
        <w:instrText xml:space="preserve"> HYPERLINK \l "_Toc240753860" </w:instrText>
      </w:r>
      <w:r>
        <w:fldChar w:fldCharType="separate"/>
      </w:r>
      <w:r>
        <w:rPr>
          <w:rStyle w:val="28"/>
        </w:rPr>
        <w:t>四、“十五五”总体思路与目标</w:t>
      </w:r>
      <w:r>
        <w:rPr>
          <w:rFonts w:hint="eastAsia"/>
        </w:rPr>
        <w:tab/>
      </w:r>
      <w:r>
        <w:rPr>
          <w:rFonts w:hint="eastAsia"/>
        </w:rPr>
        <w:fldChar w:fldCharType="begin"/>
      </w:r>
      <w:r>
        <w:rPr>
          <w:rFonts w:hint="eastAsia"/>
        </w:rPr>
        <w:instrText xml:space="preserve"> </w:instrText>
      </w:r>
      <w:r>
        <w:instrText xml:space="preserve">PAGEREF _Toc240753860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pPr>
        <w:pStyle w:val="22"/>
        <w:tabs>
          <w:tab w:val="right" w:leader="dot" w:pos="8296"/>
        </w:tabs>
        <w:ind w:left="600" w:firstLine="600"/>
        <w:rPr>
          <w:rFonts w:hint="eastAsia" w:eastAsiaTheme="minorEastAsia"/>
          <w:sz w:val="22"/>
          <w:szCs w:val="24"/>
          <w14:ligatures w14:val="standardContextual"/>
        </w:rPr>
      </w:pPr>
      <w:r>
        <w:fldChar w:fldCharType="begin"/>
      </w:r>
      <w:r>
        <w:instrText xml:space="preserve"> HYPERLINK \l "_Toc240753861" </w:instrText>
      </w:r>
      <w:r>
        <w:fldChar w:fldCharType="separate"/>
      </w:r>
      <w:r>
        <w:rPr>
          <w:rStyle w:val="28"/>
        </w:rPr>
        <w:t>（一）指导思想</w:t>
      </w:r>
      <w:r>
        <w:rPr>
          <w:rFonts w:hint="eastAsia"/>
        </w:rPr>
        <w:tab/>
      </w:r>
      <w:r>
        <w:rPr>
          <w:rFonts w:hint="eastAsia"/>
        </w:rPr>
        <w:fldChar w:fldCharType="begin"/>
      </w:r>
      <w:r>
        <w:rPr>
          <w:rFonts w:hint="eastAsia"/>
        </w:rPr>
        <w:instrText xml:space="preserve"> </w:instrText>
      </w:r>
      <w:r>
        <w:instrText xml:space="preserve">PAGEREF _Toc240753861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pPr>
        <w:pStyle w:val="22"/>
        <w:tabs>
          <w:tab w:val="right" w:leader="dot" w:pos="8296"/>
        </w:tabs>
        <w:ind w:left="600" w:firstLine="600"/>
        <w:rPr>
          <w:rFonts w:hint="eastAsia" w:eastAsiaTheme="minorEastAsia"/>
          <w:sz w:val="22"/>
          <w:szCs w:val="24"/>
          <w14:ligatures w14:val="standardContextual"/>
        </w:rPr>
      </w:pPr>
      <w:r>
        <w:fldChar w:fldCharType="begin"/>
      </w:r>
      <w:r>
        <w:instrText xml:space="preserve"> HYPERLINK \l "_Toc240753862" </w:instrText>
      </w:r>
      <w:r>
        <w:fldChar w:fldCharType="separate"/>
      </w:r>
      <w:r>
        <w:rPr>
          <w:rStyle w:val="28"/>
        </w:rPr>
        <w:t>（二）基本原则</w:t>
      </w:r>
      <w:r>
        <w:rPr>
          <w:rFonts w:hint="eastAsia"/>
        </w:rPr>
        <w:tab/>
      </w:r>
      <w:r>
        <w:rPr>
          <w:rFonts w:hint="eastAsia"/>
        </w:rPr>
        <w:fldChar w:fldCharType="begin"/>
      </w:r>
      <w:r>
        <w:rPr>
          <w:rFonts w:hint="eastAsia"/>
        </w:rPr>
        <w:instrText xml:space="preserve"> </w:instrText>
      </w:r>
      <w:r>
        <w:instrText xml:space="preserve">PAGEREF _Toc240753862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pPr>
        <w:pStyle w:val="22"/>
        <w:tabs>
          <w:tab w:val="right" w:leader="dot" w:pos="8296"/>
        </w:tabs>
        <w:ind w:left="600" w:firstLine="600"/>
        <w:rPr>
          <w:rFonts w:hint="eastAsia" w:eastAsiaTheme="minorEastAsia"/>
          <w:sz w:val="22"/>
          <w:szCs w:val="24"/>
          <w14:ligatures w14:val="standardContextual"/>
        </w:rPr>
      </w:pPr>
      <w:r>
        <w:fldChar w:fldCharType="begin"/>
      </w:r>
      <w:r>
        <w:instrText xml:space="preserve"> HYPERLINK \l "_Toc240753863" </w:instrText>
      </w:r>
      <w:r>
        <w:fldChar w:fldCharType="separate"/>
      </w:r>
      <w:r>
        <w:rPr>
          <w:rStyle w:val="28"/>
        </w:rPr>
        <w:t>（三）发展目标</w:t>
      </w:r>
      <w:r>
        <w:rPr>
          <w:rFonts w:hint="eastAsia"/>
        </w:rPr>
        <w:tab/>
      </w:r>
      <w:r>
        <w:rPr>
          <w:rFonts w:hint="eastAsia"/>
        </w:rPr>
        <w:fldChar w:fldCharType="begin"/>
      </w:r>
      <w:r>
        <w:rPr>
          <w:rFonts w:hint="eastAsia"/>
        </w:rPr>
        <w:instrText xml:space="preserve"> </w:instrText>
      </w:r>
      <w:r>
        <w:instrText xml:space="preserve">PAGEREF _Toc240753863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pPr>
        <w:pStyle w:val="22"/>
        <w:tabs>
          <w:tab w:val="right" w:leader="dot" w:pos="8296"/>
        </w:tabs>
        <w:ind w:left="600" w:firstLine="600"/>
        <w:rPr>
          <w:rFonts w:hint="eastAsia" w:eastAsiaTheme="minorEastAsia"/>
          <w:sz w:val="22"/>
          <w:szCs w:val="24"/>
          <w14:ligatures w14:val="standardContextual"/>
        </w:rPr>
      </w:pPr>
      <w:r>
        <w:fldChar w:fldCharType="begin"/>
      </w:r>
      <w:r>
        <w:instrText xml:space="preserve"> HYPERLINK \l "_Toc240753864" </w:instrText>
      </w:r>
      <w:r>
        <w:fldChar w:fldCharType="separate"/>
      </w:r>
      <w:r>
        <w:rPr>
          <w:rStyle w:val="28"/>
        </w:rPr>
        <w:t>（四）发展预测</w:t>
      </w:r>
      <w:r>
        <w:rPr>
          <w:rFonts w:hint="eastAsia"/>
        </w:rPr>
        <w:tab/>
      </w:r>
      <w:r>
        <w:rPr>
          <w:rFonts w:hint="eastAsia"/>
        </w:rPr>
        <w:fldChar w:fldCharType="begin"/>
      </w:r>
      <w:r>
        <w:rPr>
          <w:rFonts w:hint="eastAsia"/>
        </w:rPr>
        <w:instrText xml:space="preserve"> </w:instrText>
      </w:r>
      <w:r>
        <w:instrText xml:space="preserve">PAGEREF _Toc240753864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pPr>
        <w:pStyle w:val="18"/>
        <w:tabs>
          <w:tab w:val="right" w:leader="dot" w:pos="8296"/>
        </w:tabs>
        <w:ind w:firstLine="600"/>
        <w:rPr>
          <w:rFonts w:hint="eastAsia" w:eastAsiaTheme="minorEastAsia"/>
          <w:sz w:val="22"/>
          <w:szCs w:val="24"/>
          <w14:ligatures w14:val="standardContextual"/>
        </w:rPr>
      </w:pPr>
      <w:r>
        <w:fldChar w:fldCharType="begin"/>
      </w:r>
      <w:r>
        <w:instrText xml:space="preserve"> HYPERLINK \l "_Toc240753865" </w:instrText>
      </w:r>
      <w:r>
        <w:fldChar w:fldCharType="separate"/>
      </w:r>
      <w:r>
        <w:rPr>
          <w:rStyle w:val="28"/>
        </w:rPr>
        <w:t>五、空间与产业布局</w:t>
      </w:r>
      <w:r>
        <w:rPr>
          <w:rFonts w:hint="eastAsia"/>
        </w:rPr>
        <w:tab/>
      </w:r>
      <w:r>
        <w:rPr>
          <w:rFonts w:hint="eastAsia"/>
        </w:rPr>
        <w:fldChar w:fldCharType="begin"/>
      </w:r>
      <w:r>
        <w:rPr>
          <w:rFonts w:hint="eastAsia"/>
        </w:rPr>
        <w:instrText xml:space="preserve"> </w:instrText>
      </w:r>
      <w:r>
        <w:instrText xml:space="preserve">PAGEREF _Toc240753865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pPr>
        <w:pStyle w:val="22"/>
        <w:tabs>
          <w:tab w:val="right" w:leader="dot" w:pos="8296"/>
        </w:tabs>
        <w:ind w:left="600" w:firstLine="600"/>
        <w:rPr>
          <w:rFonts w:hint="eastAsia" w:eastAsiaTheme="minorEastAsia"/>
          <w:sz w:val="22"/>
          <w:szCs w:val="24"/>
          <w14:ligatures w14:val="standardContextual"/>
        </w:rPr>
      </w:pPr>
      <w:r>
        <w:fldChar w:fldCharType="begin"/>
      </w:r>
      <w:r>
        <w:instrText xml:space="preserve"> HYPERLINK \l "_Toc240753866" </w:instrText>
      </w:r>
      <w:r>
        <w:fldChar w:fldCharType="separate"/>
      </w:r>
      <w:r>
        <w:rPr>
          <w:rStyle w:val="28"/>
        </w:rPr>
        <w:t>（一）空间布局</w:t>
      </w:r>
      <w:r>
        <w:rPr>
          <w:rFonts w:hint="eastAsia"/>
        </w:rPr>
        <w:tab/>
      </w:r>
      <w:r>
        <w:rPr>
          <w:rFonts w:hint="eastAsia"/>
        </w:rPr>
        <w:fldChar w:fldCharType="begin"/>
      </w:r>
      <w:r>
        <w:rPr>
          <w:rFonts w:hint="eastAsia"/>
        </w:rPr>
        <w:instrText xml:space="preserve"> </w:instrText>
      </w:r>
      <w:r>
        <w:instrText xml:space="preserve">PAGEREF _Toc240753866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pPr>
        <w:pStyle w:val="22"/>
        <w:tabs>
          <w:tab w:val="right" w:leader="dot" w:pos="8296"/>
        </w:tabs>
        <w:ind w:left="600" w:firstLine="600"/>
        <w:rPr>
          <w:rFonts w:hint="eastAsia" w:eastAsiaTheme="minorEastAsia"/>
          <w:sz w:val="22"/>
          <w:szCs w:val="24"/>
          <w14:ligatures w14:val="standardContextual"/>
        </w:rPr>
      </w:pPr>
      <w:r>
        <w:fldChar w:fldCharType="begin"/>
      </w:r>
      <w:r>
        <w:instrText xml:space="preserve"> HYPERLINK \l "_Toc240753867" </w:instrText>
      </w:r>
      <w:r>
        <w:fldChar w:fldCharType="separate"/>
      </w:r>
      <w:r>
        <w:rPr>
          <w:rStyle w:val="28"/>
        </w:rPr>
        <w:t>（二）产业布局</w:t>
      </w:r>
      <w:r>
        <w:rPr>
          <w:rFonts w:hint="eastAsia"/>
        </w:rPr>
        <w:tab/>
      </w:r>
      <w:r>
        <w:rPr>
          <w:rFonts w:hint="eastAsia"/>
        </w:rPr>
        <w:fldChar w:fldCharType="begin"/>
      </w:r>
      <w:r>
        <w:rPr>
          <w:rFonts w:hint="eastAsia"/>
        </w:rPr>
        <w:instrText xml:space="preserve"> </w:instrText>
      </w:r>
      <w:r>
        <w:instrText xml:space="preserve">PAGEREF _Toc240753867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pPr>
        <w:pStyle w:val="22"/>
        <w:tabs>
          <w:tab w:val="right" w:leader="dot" w:pos="8296"/>
        </w:tabs>
        <w:ind w:left="600" w:firstLine="600"/>
        <w:rPr>
          <w:rFonts w:hint="eastAsia" w:eastAsiaTheme="minorEastAsia"/>
          <w:sz w:val="22"/>
          <w:szCs w:val="24"/>
          <w14:ligatures w14:val="standardContextual"/>
        </w:rPr>
      </w:pPr>
      <w:r>
        <w:fldChar w:fldCharType="begin"/>
      </w:r>
      <w:r>
        <w:instrText xml:space="preserve"> HYPERLINK \l "_Toc240753868" </w:instrText>
      </w:r>
      <w:r>
        <w:fldChar w:fldCharType="separate"/>
      </w:r>
      <w:r>
        <w:rPr>
          <w:rStyle w:val="28"/>
        </w:rPr>
        <w:t>（三）重点产业</w:t>
      </w:r>
      <w:r>
        <w:rPr>
          <w:rFonts w:hint="eastAsia"/>
        </w:rPr>
        <w:tab/>
      </w:r>
      <w:r>
        <w:rPr>
          <w:rFonts w:hint="eastAsia"/>
        </w:rPr>
        <w:fldChar w:fldCharType="begin"/>
      </w:r>
      <w:r>
        <w:rPr>
          <w:rFonts w:hint="eastAsia"/>
        </w:rPr>
        <w:instrText xml:space="preserve"> </w:instrText>
      </w:r>
      <w:r>
        <w:instrText xml:space="preserve">PAGEREF _Toc240753868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pPr>
        <w:pStyle w:val="18"/>
        <w:tabs>
          <w:tab w:val="right" w:leader="dot" w:pos="8296"/>
        </w:tabs>
        <w:ind w:firstLine="600"/>
        <w:rPr>
          <w:rFonts w:hint="eastAsia" w:eastAsiaTheme="minorEastAsia"/>
          <w:sz w:val="22"/>
          <w:szCs w:val="24"/>
          <w14:ligatures w14:val="standardContextual"/>
        </w:rPr>
      </w:pPr>
      <w:r>
        <w:fldChar w:fldCharType="begin"/>
      </w:r>
      <w:r>
        <w:instrText xml:space="preserve"> HYPERLINK \l "_Toc240753869" </w:instrText>
      </w:r>
      <w:r>
        <w:fldChar w:fldCharType="separate"/>
      </w:r>
      <w:r>
        <w:rPr>
          <w:rStyle w:val="28"/>
        </w:rPr>
        <w:t>六、重点任务</w:t>
      </w:r>
      <w:r>
        <w:rPr>
          <w:rFonts w:hint="eastAsia"/>
        </w:rPr>
        <w:tab/>
      </w:r>
      <w:r>
        <w:rPr>
          <w:rFonts w:hint="eastAsia"/>
        </w:rPr>
        <w:fldChar w:fldCharType="begin"/>
      </w:r>
      <w:r>
        <w:rPr>
          <w:rFonts w:hint="eastAsia"/>
        </w:rPr>
        <w:instrText xml:space="preserve"> </w:instrText>
      </w:r>
      <w:r>
        <w:instrText xml:space="preserve">PAGEREF _Toc240753869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pPr>
        <w:pStyle w:val="22"/>
        <w:tabs>
          <w:tab w:val="right" w:leader="dot" w:pos="8296"/>
        </w:tabs>
        <w:ind w:left="600" w:firstLine="600"/>
        <w:rPr>
          <w:rFonts w:hint="eastAsia" w:eastAsiaTheme="minorEastAsia"/>
          <w:sz w:val="22"/>
          <w:szCs w:val="24"/>
          <w14:ligatures w14:val="standardContextual"/>
        </w:rPr>
      </w:pPr>
      <w:r>
        <w:fldChar w:fldCharType="begin"/>
      </w:r>
      <w:r>
        <w:instrText xml:space="preserve"> HYPERLINK \l "_Toc240753870" </w:instrText>
      </w:r>
      <w:r>
        <w:fldChar w:fldCharType="separate"/>
      </w:r>
      <w:r>
        <w:rPr>
          <w:rStyle w:val="28"/>
        </w:rPr>
        <w:t>（一）</w:t>
      </w:r>
      <w:r>
        <w:rPr>
          <w:rStyle w:val="28"/>
          <w:bCs/>
        </w:rPr>
        <w:t>构建健康养殖体系，夯实产业发展基石</w:t>
      </w:r>
      <w:r>
        <w:rPr>
          <w:rStyle w:val="28"/>
        </w:rPr>
        <w:t>​</w:t>
      </w:r>
      <w:r>
        <w:rPr>
          <w:rFonts w:hint="eastAsia"/>
        </w:rPr>
        <w:tab/>
      </w:r>
      <w:r>
        <w:rPr>
          <w:rFonts w:hint="eastAsia"/>
        </w:rPr>
        <w:fldChar w:fldCharType="begin"/>
      </w:r>
      <w:r>
        <w:rPr>
          <w:rFonts w:hint="eastAsia"/>
        </w:rPr>
        <w:instrText xml:space="preserve"> </w:instrText>
      </w:r>
      <w:r>
        <w:instrText xml:space="preserve">PAGEREF _Toc240753870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pPr>
        <w:pStyle w:val="22"/>
        <w:tabs>
          <w:tab w:val="right" w:leader="dot" w:pos="8296"/>
        </w:tabs>
        <w:ind w:left="600" w:firstLine="600"/>
        <w:rPr>
          <w:rFonts w:hint="eastAsia" w:eastAsiaTheme="minorEastAsia"/>
          <w:sz w:val="22"/>
          <w:szCs w:val="24"/>
          <w14:ligatures w14:val="standardContextual"/>
        </w:rPr>
      </w:pPr>
      <w:r>
        <w:fldChar w:fldCharType="begin"/>
      </w:r>
      <w:r>
        <w:instrText xml:space="preserve"> HYPERLINK \l "_Toc240753871" </w:instrText>
      </w:r>
      <w:r>
        <w:fldChar w:fldCharType="separate"/>
      </w:r>
      <w:r>
        <w:rPr>
          <w:rStyle w:val="28"/>
        </w:rPr>
        <w:t>（二）完善生物安全屏障，保障产品质量安全​</w:t>
      </w:r>
      <w:r>
        <w:rPr>
          <w:rFonts w:hint="eastAsia"/>
        </w:rPr>
        <w:tab/>
      </w:r>
      <w:r>
        <w:rPr>
          <w:rFonts w:hint="eastAsia"/>
        </w:rPr>
        <w:fldChar w:fldCharType="begin"/>
      </w:r>
      <w:r>
        <w:rPr>
          <w:rFonts w:hint="eastAsia"/>
        </w:rPr>
        <w:instrText xml:space="preserve"> </w:instrText>
      </w:r>
      <w:r>
        <w:instrText xml:space="preserve">PAGEREF _Toc240753871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pPr>
        <w:pStyle w:val="22"/>
        <w:tabs>
          <w:tab w:val="right" w:leader="dot" w:pos="8296"/>
        </w:tabs>
        <w:ind w:left="600" w:firstLine="600"/>
        <w:rPr>
          <w:rFonts w:hint="eastAsia" w:eastAsiaTheme="minorEastAsia"/>
          <w:sz w:val="22"/>
          <w:szCs w:val="24"/>
          <w14:ligatures w14:val="standardContextual"/>
        </w:rPr>
      </w:pPr>
      <w:r>
        <w:fldChar w:fldCharType="begin"/>
      </w:r>
      <w:r>
        <w:instrText xml:space="preserve"> HYPERLINK \l "_Toc240753872" </w:instrText>
      </w:r>
      <w:r>
        <w:fldChar w:fldCharType="separate"/>
      </w:r>
      <w:r>
        <w:rPr>
          <w:rStyle w:val="28"/>
        </w:rPr>
        <w:t>（三）推进绿色低碳转型，实现产业可持续发展</w:t>
      </w:r>
      <w:r>
        <w:rPr>
          <w:rFonts w:hint="eastAsia"/>
        </w:rPr>
        <w:tab/>
      </w:r>
      <w:r>
        <w:rPr>
          <w:rFonts w:hint="eastAsia"/>
        </w:rPr>
        <w:fldChar w:fldCharType="begin"/>
      </w:r>
      <w:r>
        <w:rPr>
          <w:rFonts w:hint="eastAsia"/>
        </w:rPr>
        <w:instrText xml:space="preserve"> </w:instrText>
      </w:r>
      <w:r>
        <w:instrText xml:space="preserve">PAGEREF _Toc240753872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pPr>
        <w:pStyle w:val="22"/>
        <w:tabs>
          <w:tab w:val="right" w:leader="dot" w:pos="8296"/>
        </w:tabs>
        <w:ind w:left="600" w:firstLine="600"/>
        <w:rPr>
          <w:rFonts w:hint="eastAsia" w:eastAsiaTheme="minorEastAsia"/>
          <w:sz w:val="22"/>
          <w:szCs w:val="24"/>
          <w14:ligatures w14:val="standardContextual"/>
        </w:rPr>
      </w:pPr>
      <w:r>
        <w:fldChar w:fldCharType="begin"/>
      </w:r>
      <w:r>
        <w:instrText xml:space="preserve"> HYPERLINK \l "_Toc240753873" </w:instrText>
      </w:r>
      <w:r>
        <w:fldChar w:fldCharType="separate"/>
      </w:r>
      <w:r>
        <w:rPr>
          <w:rStyle w:val="28"/>
        </w:rPr>
        <w:t>（四）强化科技创新驱动，提升产业核心竞争力​</w:t>
      </w:r>
      <w:r>
        <w:rPr>
          <w:rFonts w:hint="eastAsia"/>
        </w:rPr>
        <w:tab/>
      </w:r>
      <w:r>
        <w:rPr>
          <w:rFonts w:hint="eastAsia"/>
        </w:rPr>
        <w:fldChar w:fldCharType="begin"/>
      </w:r>
      <w:r>
        <w:rPr>
          <w:rFonts w:hint="eastAsia"/>
        </w:rPr>
        <w:instrText xml:space="preserve"> </w:instrText>
      </w:r>
      <w:r>
        <w:instrText xml:space="preserve">PAGEREF _Toc240753873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pPr>
        <w:pStyle w:val="22"/>
        <w:tabs>
          <w:tab w:val="right" w:leader="dot" w:pos="8296"/>
        </w:tabs>
        <w:ind w:left="600" w:firstLine="600"/>
        <w:rPr>
          <w:rFonts w:hint="eastAsia" w:eastAsiaTheme="minorEastAsia"/>
          <w:sz w:val="22"/>
          <w:szCs w:val="24"/>
          <w14:ligatures w14:val="standardContextual"/>
        </w:rPr>
      </w:pPr>
      <w:r>
        <w:fldChar w:fldCharType="begin"/>
      </w:r>
      <w:r>
        <w:instrText xml:space="preserve"> HYPERLINK \l "_Toc240753874" </w:instrText>
      </w:r>
      <w:r>
        <w:fldChar w:fldCharType="separate"/>
      </w:r>
      <w:r>
        <w:rPr>
          <w:rStyle w:val="28"/>
        </w:rPr>
        <w:t>（五）加速数字化转型，推进智慧牧场建设</w:t>
      </w:r>
      <w:r>
        <w:rPr>
          <w:rFonts w:hint="eastAsia"/>
        </w:rPr>
        <w:tab/>
      </w:r>
      <w:r>
        <w:rPr>
          <w:rFonts w:hint="eastAsia"/>
        </w:rPr>
        <w:fldChar w:fldCharType="begin"/>
      </w:r>
      <w:r>
        <w:rPr>
          <w:rFonts w:hint="eastAsia"/>
        </w:rPr>
        <w:instrText xml:space="preserve"> </w:instrText>
      </w:r>
      <w:r>
        <w:instrText xml:space="preserve">PAGEREF _Toc240753874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pPr>
        <w:pStyle w:val="22"/>
        <w:tabs>
          <w:tab w:val="right" w:leader="dot" w:pos="8296"/>
        </w:tabs>
        <w:ind w:left="600" w:firstLine="600"/>
        <w:rPr>
          <w:rFonts w:hint="eastAsia" w:eastAsiaTheme="minorEastAsia"/>
          <w:sz w:val="22"/>
          <w:szCs w:val="24"/>
          <w14:ligatures w14:val="standardContextual"/>
        </w:rPr>
      </w:pPr>
      <w:r>
        <w:fldChar w:fldCharType="begin"/>
      </w:r>
      <w:r>
        <w:instrText xml:space="preserve"> HYPERLINK \l "_Toc240753875" </w:instrText>
      </w:r>
      <w:r>
        <w:fldChar w:fldCharType="separate"/>
      </w:r>
      <w:r>
        <w:rPr>
          <w:rStyle w:val="28"/>
        </w:rPr>
        <w:t>（六）优化产业服务体系，营造良好发展生态</w:t>
      </w:r>
      <w:r>
        <w:rPr>
          <w:rFonts w:hint="eastAsia"/>
        </w:rPr>
        <w:tab/>
      </w:r>
      <w:r>
        <w:rPr>
          <w:rFonts w:hint="eastAsia"/>
        </w:rPr>
        <w:fldChar w:fldCharType="begin"/>
      </w:r>
      <w:r>
        <w:rPr>
          <w:rFonts w:hint="eastAsia"/>
        </w:rPr>
        <w:instrText xml:space="preserve"> </w:instrText>
      </w:r>
      <w:r>
        <w:instrText xml:space="preserve">PAGEREF _Toc240753875 \h</w:instrText>
      </w:r>
      <w:r>
        <w:rPr>
          <w:rFonts w:hint="eastAsia"/>
        </w:rPr>
        <w:instrText xml:space="preserve"> </w:instrText>
      </w:r>
      <w:r>
        <w:rPr>
          <w:rFonts w:hint="eastAsia"/>
        </w:rPr>
        <w:fldChar w:fldCharType="separate"/>
      </w:r>
      <w:r>
        <w:t>16</w:t>
      </w:r>
      <w:r>
        <w:rPr>
          <w:rFonts w:hint="eastAsia"/>
        </w:rPr>
        <w:fldChar w:fldCharType="end"/>
      </w:r>
      <w:r>
        <w:rPr>
          <w:rFonts w:hint="eastAsia"/>
        </w:rPr>
        <w:fldChar w:fldCharType="end"/>
      </w:r>
    </w:p>
    <w:p>
      <w:pPr>
        <w:pStyle w:val="18"/>
        <w:tabs>
          <w:tab w:val="right" w:leader="dot" w:pos="8296"/>
        </w:tabs>
        <w:ind w:firstLine="600"/>
        <w:rPr>
          <w:rFonts w:hint="eastAsia" w:eastAsiaTheme="minorEastAsia"/>
          <w:sz w:val="22"/>
          <w:szCs w:val="24"/>
          <w14:ligatures w14:val="standardContextual"/>
        </w:rPr>
      </w:pPr>
      <w:r>
        <w:fldChar w:fldCharType="begin"/>
      </w:r>
      <w:r>
        <w:instrText xml:space="preserve"> HYPERLINK \l "_Toc240753876" </w:instrText>
      </w:r>
      <w:r>
        <w:fldChar w:fldCharType="separate"/>
      </w:r>
      <w:r>
        <w:rPr>
          <w:rStyle w:val="28"/>
        </w:rPr>
        <w:t>七、重点工程</w:t>
      </w:r>
      <w:r>
        <w:rPr>
          <w:rFonts w:hint="eastAsia"/>
        </w:rPr>
        <w:tab/>
      </w:r>
      <w:r>
        <w:rPr>
          <w:rFonts w:hint="eastAsia"/>
        </w:rPr>
        <w:fldChar w:fldCharType="begin"/>
      </w:r>
      <w:r>
        <w:rPr>
          <w:rFonts w:hint="eastAsia"/>
        </w:rPr>
        <w:instrText xml:space="preserve"> </w:instrText>
      </w:r>
      <w:r>
        <w:instrText xml:space="preserve">PAGEREF _Toc240753876 \h</w:instrText>
      </w:r>
      <w:r>
        <w:rPr>
          <w:rFonts w:hint="eastAsia"/>
        </w:rPr>
        <w:instrText xml:space="preserve"> </w:instrText>
      </w:r>
      <w:r>
        <w:rPr>
          <w:rFonts w:hint="eastAsia"/>
        </w:rPr>
        <w:fldChar w:fldCharType="separate"/>
      </w:r>
      <w:r>
        <w:t>16</w:t>
      </w:r>
      <w:r>
        <w:rPr>
          <w:rFonts w:hint="eastAsia"/>
        </w:rPr>
        <w:fldChar w:fldCharType="end"/>
      </w:r>
      <w:r>
        <w:rPr>
          <w:rFonts w:hint="eastAsia"/>
        </w:rPr>
        <w:fldChar w:fldCharType="end"/>
      </w:r>
    </w:p>
    <w:p>
      <w:pPr>
        <w:pStyle w:val="22"/>
        <w:tabs>
          <w:tab w:val="right" w:leader="dot" w:pos="8296"/>
        </w:tabs>
        <w:ind w:left="600" w:firstLine="600"/>
        <w:rPr>
          <w:rFonts w:hint="eastAsia" w:eastAsiaTheme="minorEastAsia"/>
          <w:sz w:val="22"/>
          <w:szCs w:val="24"/>
          <w14:ligatures w14:val="standardContextual"/>
        </w:rPr>
      </w:pPr>
      <w:r>
        <w:fldChar w:fldCharType="begin"/>
      </w:r>
      <w:r>
        <w:instrText xml:space="preserve"> HYPERLINK \l "_Toc240753877" </w:instrText>
      </w:r>
      <w:r>
        <w:fldChar w:fldCharType="separate"/>
      </w:r>
      <w:r>
        <w:rPr>
          <w:rStyle w:val="28"/>
        </w:rPr>
        <w:t>（一）生态升级工程</w:t>
      </w:r>
      <w:r>
        <w:rPr>
          <w:rFonts w:hint="eastAsia"/>
        </w:rPr>
        <w:tab/>
      </w:r>
      <w:r>
        <w:rPr>
          <w:rFonts w:hint="eastAsia"/>
        </w:rPr>
        <w:fldChar w:fldCharType="begin"/>
      </w:r>
      <w:r>
        <w:rPr>
          <w:rFonts w:hint="eastAsia"/>
        </w:rPr>
        <w:instrText xml:space="preserve"> </w:instrText>
      </w:r>
      <w:r>
        <w:instrText xml:space="preserve">PAGEREF _Toc240753877 \h</w:instrText>
      </w:r>
      <w:r>
        <w:rPr>
          <w:rFonts w:hint="eastAsia"/>
        </w:rPr>
        <w:instrText xml:space="preserve"> </w:instrText>
      </w:r>
      <w:r>
        <w:rPr>
          <w:rFonts w:hint="eastAsia"/>
        </w:rPr>
        <w:fldChar w:fldCharType="separate"/>
      </w:r>
      <w:r>
        <w:t>16</w:t>
      </w:r>
      <w:r>
        <w:rPr>
          <w:rFonts w:hint="eastAsia"/>
        </w:rPr>
        <w:fldChar w:fldCharType="end"/>
      </w:r>
      <w:r>
        <w:rPr>
          <w:rFonts w:hint="eastAsia"/>
        </w:rPr>
        <w:fldChar w:fldCharType="end"/>
      </w:r>
    </w:p>
    <w:p>
      <w:pPr>
        <w:pStyle w:val="22"/>
        <w:tabs>
          <w:tab w:val="right" w:leader="dot" w:pos="8296"/>
        </w:tabs>
        <w:ind w:left="600" w:firstLine="600"/>
        <w:rPr>
          <w:rFonts w:hint="eastAsia" w:eastAsiaTheme="minorEastAsia"/>
          <w:sz w:val="22"/>
          <w:szCs w:val="24"/>
          <w14:ligatures w14:val="standardContextual"/>
        </w:rPr>
      </w:pPr>
      <w:r>
        <w:fldChar w:fldCharType="begin"/>
      </w:r>
      <w:r>
        <w:instrText xml:space="preserve"> HYPERLINK \l "_Toc240753878" </w:instrText>
      </w:r>
      <w:r>
        <w:fldChar w:fldCharType="separate"/>
      </w:r>
      <w:r>
        <w:rPr>
          <w:rStyle w:val="28"/>
        </w:rPr>
        <w:t>（二）安全强化工程</w:t>
      </w:r>
      <w:r>
        <w:rPr>
          <w:rFonts w:hint="eastAsia"/>
        </w:rPr>
        <w:tab/>
      </w:r>
      <w:r>
        <w:rPr>
          <w:rFonts w:hint="eastAsia"/>
        </w:rPr>
        <w:fldChar w:fldCharType="begin"/>
      </w:r>
      <w:r>
        <w:rPr>
          <w:rFonts w:hint="eastAsia"/>
        </w:rPr>
        <w:instrText xml:space="preserve"> </w:instrText>
      </w:r>
      <w:r>
        <w:instrText xml:space="preserve">PAGEREF _Toc240753878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pPr>
        <w:pStyle w:val="22"/>
        <w:tabs>
          <w:tab w:val="right" w:leader="dot" w:pos="8296"/>
        </w:tabs>
        <w:ind w:left="600" w:firstLine="600"/>
        <w:rPr>
          <w:rFonts w:hint="eastAsia" w:eastAsiaTheme="minorEastAsia"/>
          <w:sz w:val="22"/>
          <w:szCs w:val="24"/>
          <w14:ligatures w14:val="standardContextual"/>
        </w:rPr>
      </w:pPr>
      <w:r>
        <w:fldChar w:fldCharType="begin"/>
      </w:r>
      <w:r>
        <w:instrText xml:space="preserve"> HYPERLINK \l "_Toc240753879" </w:instrText>
      </w:r>
      <w:r>
        <w:fldChar w:fldCharType="separate"/>
      </w:r>
      <w:r>
        <w:rPr>
          <w:rStyle w:val="28"/>
        </w:rPr>
        <w:t>（三）服务配套工程</w:t>
      </w:r>
      <w:r>
        <w:rPr>
          <w:rFonts w:hint="eastAsia"/>
        </w:rPr>
        <w:tab/>
      </w:r>
      <w:r>
        <w:rPr>
          <w:rFonts w:hint="eastAsia"/>
        </w:rPr>
        <w:fldChar w:fldCharType="begin"/>
      </w:r>
      <w:r>
        <w:rPr>
          <w:rFonts w:hint="eastAsia"/>
        </w:rPr>
        <w:instrText xml:space="preserve"> </w:instrText>
      </w:r>
      <w:r>
        <w:instrText xml:space="preserve">PAGEREF _Toc240753879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pPr>
        <w:pStyle w:val="22"/>
        <w:tabs>
          <w:tab w:val="right" w:leader="dot" w:pos="8296"/>
        </w:tabs>
        <w:ind w:left="600" w:firstLine="600"/>
        <w:rPr>
          <w:rFonts w:hint="eastAsia" w:eastAsiaTheme="minorEastAsia"/>
          <w:sz w:val="22"/>
          <w:szCs w:val="24"/>
          <w14:ligatures w14:val="standardContextual"/>
        </w:rPr>
      </w:pPr>
      <w:r>
        <w:fldChar w:fldCharType="begin"/>
      </w:r>
      <w:r>
        <w:instrText xml:space="preserve"> HYPERLINK \l "_Toc240753880" </w:instrText>
      </w:r>
      <w:r>
        <w:fldChar w:fldCharType="separate"/>
      </w:r>
      <w:r>
        <w:rPr>
          <w:rStyle w:val="28"/>
        </w:rPr>
        <w:t>（四）产业结构优化工程</w:t>
      </w:r>
      <w:r>
        <w:rPr>
          <w:rFonts w:hint="eastAsia"/>
        </w:rPr>
        <w:tab/>
      </w:r>
      <w:r>
        <w:rPr>
          <w:rFonts w:hint="eastAsia"/>
        </w:rPr>
        <w:fldChar w:fldCharType="begin"/>
      </w:r>
      <w:r>
        <w:rPr>
          <w:rFonts w:hint="eastAsia"/>
        </w:rPr>
        <w:instrText xml:space="preserve"> </w:instrText>
      </w:r>
      <w:r>
        <w:instrText xml:space="preserve">PAGEREF _Toc240753880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pPr>
        <w:pStyle w:val="22"/>
        <w:tabs>
          <w:tab w:val="right" w:leader="dot" w:pos="8296"/>
        </w:tabs>
        <w:ind w:left="600" w:firstLine="600"/>
        <w:rPr>
          <w:rFonts w:hint="eastAsia" w:eastAsiaTheme="minorEastAsia"/>
          <w:sz w:val="22"/>
          <w:szCs w:val="24"/>
          <w14:ligatures w14:val="standardContextual"/>
        </w:rPr>
      </w:pPr>
      <w:r>
        <w:fldChar w:fldCharType="begin"/>
      </w:r>
      <w:r>
        <w:instrText xml:space="preserve"> HYPERLINK \l "_Toc240753881" </w:instrText>
      </w:r>
      <w:r>
        <w:fldChar w:fldCharType="separate"/>
      </w:r>
      <w:r>
        <w:rPr>
          <w:rStyle w:val="28"/>
        </w:rPr>
        <w:t>（五）科技支撑工程</w:t>
      </w:r>
      <w:r>
        <w:rPr>
          <w:rFonts w:hint="eastAsia"/>
        </w:rPr>
        <w:tab/>
      </w:r>
      <w:r>
        <w:rPr>
          <w:rFonts w:hint="eastAsia"/>
        </w:rPr>
        <w:fldChar w:fldCharType="begin"/>
      </w:r>
      <w:r>
        <w:rPr>
          <w:rFonts w:hint="eastAsia"/>
        </w:rPr>
        <w:instrText xml:space="preserve"> </w:instrText>
      </w:r>
      <w:r>
        <w:instrText xml:space="preserve">PAGEREF _Toc240753881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pPr>
        <w:pStyle w:val="22"/>
        <w:tabs>
          <w:tab w:val="right" w:leader="dot" w:pos="8296"/>
        </w:tabs>
        <w:ind w:left="600" w:firstLine="600"/>
        <w:rPr>
          <w:rFonts w:hint="eastAsia" w:eastAsiaTheme="minorEastAsia"/>
          <w:sz w:val="22"/>
          <w:szCs w:val="24"/>
          <w14:ligatures w14:val="standardContextual"/>
        </w:rPr>
      </w:pPr>
      <w:r>
        <w:fldChar w:fldCharType="begin"/>
      </w:r>
      <w:r>
        <w:instrText xml:space="preserve"> HYPERLINK \l "_Toc240753882" </w:instrText>
      </w:r>
      <w:r>
        <w:fldChar w:fldCharType="separate"/>
      </w:r>
      <w:r>
        <w:rPr>
          <w:rStyle w:val="28"/>
        </w:rPr>
        <w:t>（六）智慧牧场建设工程</w:t>
      </w:r>
      <w:r>
        <w:rPr>
          <w:rFonts w:hint="eastAsia"/>
        </w:rPr>
        <w:tab/>
      </w:r>
      <w:r>
        <w:rPr>
          <w:rFonts w:hint="eastAsia"/>
        </w:rPr>
        <w:fldChar w:fldCharType="begin"/>
      </w:r>
      <w:r>
        <w:rPr>
          <w:rFonts w:hint="eastAsia"/>
        </w:rPr>
        <w:instrText xml:space="preserve"> </w:instrText>
      </w:r>
      <w:r>
        <w:instrText xml:space="preserve">PAGEREF _Toc240753882 \h</w:instrText>
      </w:r>
      <w:r>
        <w:rPr>
          <w:rFonts w:hint="eastAsia"/>
        </w:rPr>
        <w:instrText xml:space="preserve"> </w:instrText>
      </w:r>
      <w:r>
        <w:rPr>
          <w:rFonts w:hint="eastAsia"/>
        </w:rPr>
        <w:fldChar w:fldCharType="separate"/>
      </w:r>
      <w:r>
        <w:t>18</w:t>
      </w:r>
      <w:r>
        <w:rPr>
          <w:rFonts w:hint="eastAsia"/>
        </w:rPr>
        <w:fldChar w:fldCharType="end"/>
      </w:r>
      <w:r>
        <w:rPr>
          <w:rFonts w:hint="eastAsia"/>
        </w:rPr>
        <w:fldChar w:fldCharType="end"/>
      </w:r>
    </w:p>
    <w:p>
      <w:pPr>
        <w:pStyle w:val="22"/>
        <w:tabs>
          <w:tab w:val="right" w:leader="dot" w:pos="8296"/>
        </w:tabs>
        <w:ind w:left="600" w:firstLine="600"/>
        <w:rPr>
          <w:rFonts w:hint="eastAsia" w:eastAsiaTheme="minorEastAsia"/>
          <w:sz w:val="22"/>
          <w:szCs w:val="24"/>
          <w14:ligatures w14:val="standardContextual"/>
        </w:rPr>
      </w:pPr>
      <w:r>
        <w:fldChar w:fldCharType="begin"/>
      </w:r>
      <w:r>
        <w:instrText xml:space="preserve"> HYPERLINK \l "_Toc240753883" </w:instrText>
      </w:r>
      <w:r>
        <w:fldChar w:fldCharType="separate"/>
      </w:r>
      <w:r>
        <w:rPr>
          <w:rStyle w:val="28"/>
        </w:rPr>
        <w:t>（七）品牌建设与市场拓展工程</w:t>
      </w:r>
      <w:r>
        <w:rPr>
          <w:rFonts w:hint="eastAsia"/>
        </w:rPr>
        <w:tab/>
      </w:r>
      <w:r>
        <w:rPr>
          <w:rFonts w:hint="eastAsia"/>
        </w:rPr>
        <w:fldChar w:fldCharType="begin"/>
      </w:r>
      <w:r>
        <w:rPr>
          <w:rFonts w:hint="eastAsia"/>
        </w:rPr>
        <w:instrText xml:space="preserve"> </w:instrText>
      </w:r>
      <w:r>
        <w:instrText xml:space="preserve">PAGEREF _Toc240753883 \h</w:instrText>
      </w:r>
      <w:r>
        <w:rPr>
          <w:rFonts w:hint="eastAsia"/>
        </w:rPr>
        <w:instrText xml:space="preserve"> </w:instrText>
      </w:r>
      <w:r>
        <w:rPr>
          <w:rFonts w:hint="eastAsia"/>
        </w:rPr>
        <w:fldChar w:fldCharType="separate"/>
      </w:r>
      <w:r>
        <w:t>18</w:t>
      </w:r>
      <w:r>
        <w:rPr>
          <w:rFonts w:hint="eastAsia"/>
        </w:rPr>
        <w:fldChar w:fldCharType="end"/>
      </w:r>
      <w:r>
        <w:rPr>
          <w:rFonts w:hint="eastAsia"/>
        </w:rPr>
        <w:fldChar w:fldCharType="end"/>
      </w:r>
    </w:p>
    <w:p>
      <w:pPr>
        <w:pStyle w:val="18"/>
        <w:tabs>
          <w:tab w:val="right" w:leader="dot" w:pos="8296"/>
        </w:tabs>
        <w:ind w:firstLine="600"/>
        <w:rPr>
          <w:rFonts w:hint="eastAsia" w:eastAsiaTheme="minorEastAsia"/>
          <w:sz w:val="22"/>
          <w:szCs w:val="24"/>
          <w14:ligatures w14:val="standardContextual"/>
        </w:rPr>
      </w:pPr>
      <w:r>
        <w:fldChar w:fldCharType="begin"/>
      </w:r>
      <w:r>
        <w:instrText xml:space="preserve"> HYPERLINK \l "_Toc240753884" </w:instrText>
      </w:r>
      <w:r>
        <w:fldChar w:fldCharType="separate"/>
      </w:r>
      <w:r>
        <w:rPr>
          <w:rStyle w:val="28"/>
        </w:rPr>
        <w:t>八、保障措施</w:t>
      </w:r>
      <w:r>
        <w:rPr>
          <w:rFonts w:hint="eastAsia"/>
        </w:rPr>
        <w:tab/>
      </w:r>
      <w:r>
        <w:rPr>
          <w:rFonts w:hint="eastAsia"/>
        </w:rPr>
        <w:fldChar w:fldCharType="begin"/>
      </w:r>
      <w:r>
        <w:rPr>
          <w:rFonts w:hint="eastAsia"/>
        </w:rPr>
        <w:instrText xml:space="preserve"> </w:instrText>
      </w:r>
      <w:r>
        <w:instrText xml:space="preserve">PAGEREF _Toc240753884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pPr>
        <w:pStyle w:val="22"/>
        <w:tabs>
          <w:tab w:val="right" w:leader="dot" w:pos="8296"/>
        </w:tabs>
        <w:ind w:left="600" w:firstLine="600"/>
        <w:rPr>
          <w:rFonts w:hint="eastAsia" w:eastAsiaTheme="minorEastAsia"/>
          <w:sz w:val="22"/>
          <w:szCs w:val="24"/>
          <w14:ligatures w14:val="standardContextual"/>
        </w:rPr>
      </w:pPr>
      <w:r>
        <w:fldChar w:fldCharType="begin"/>
      </w:r>
      <w:r>
        <w:instrText xml:space="preserve"> HYPERLINK \l "_Toc240753885" </w:instrText>
      </w:r>
      <w:r>
        <w:fldChar w:fldCharType="separate"/>
      </w:r>
      <w:r>
        <w:rPr>
          <w:rStyle w:val="28"/>
        </w:rPr>
        <w:t>（一）组织与政策保障</w:t>
      </w:r>
      <w:r>
        <w:rPr>
          <w:rFonts w:hint="eastAsia"/>
        </w:rPr>
        <w:tab/>
      </w:r>
      <w:r>
        <w:rPr>
          <w:rFonts w:hint="eastAsia"/>
        </w:rPr>
        <w:fldChar w:fldCharType="begin"/>
      </w:r>
      <w:r>
        <w:rPr>
          <w:rFonts w:hint="eastAsia"/>
        </w:rPr>
        <w:instrText xml:space="preserve"> </w:instrText>
      </w:r>
      <w:r>
        <w:instrText xml:space="preserve">PAGEREF _Toc240753885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pPr>
        <w:pStyle w:val="22"/>
        <w:tabs>
          <w:tab w:val="right" w:leader="dot" w:pos="8296"/>
        </w:tabs>
        <w:ind w:left="600" w:firstLine="600"/>
        <w:rPr>
          <w:rFonts w:hint="eastAsia" w:eastAsiaTheme="minorEastAsia"/>
          <w:sz w:val="22"/>
          <w:szCs w:val="24"/>
          <w14:ligatures w14:val="standardContextual"/>
        </w:rPr>
      </w:pPr>
      <w:r>
        <w:fldChar w:fldCharType="begin"/>
      </w:r>
      <w:r>
        <w:instrText xml:space="preserve"> HYPERLINK \l "_Toc240753886" </w:instrText>
      </w:r>
      <w:r>
        <w:fldChar w:fldCharType="separate"/>
      </w:r>
      <w:r>
        <w:rPr>
          <w:rStyle w:val="28"/>
        </w:rPr>
        <w:t>（二）资金与金融保障</w:t>
      </w:r>
      <w:r>
        <w:rPr>
          <w:rFonts w:hint="eastAsia"/>
        </w:rPr>
        <w:tab/>
      </w:r>
      <w:r>
        <w:rPr>
          <w:rFonts w:hint="eastAsia"/>
        </w:rPr>
        <w:fldChar w:fldCharType="begin"/>
      </w:r>
      <w:r>
        <w:rPr>
          <w:rFonts w:hint="eastAsia"/>
        </w:rPr>
        <w:instrText xml:space="preserve"> </w:instrText>
      </w:r>
      <w:r>
        <w:instrText xml:space="preserve">PAGEREF _Toc240753886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pPr>
        <w:pStyle w:val="22"/>
        <w:tabs>
          <w:tab w:val="right" w:leader="dot" w:pos="8296"/>
        </w:tabs>
        <w:ind w:left="600" w:firstLine="600"/>
        <w:rPr>
          <w:rFonts w:hint="eastAsia" w:eastAsiaTheme="minorEastAsia"/>
          <w:sz w:val="22"/>
          <w:szCs w:val="24"/>
          <w14:ligatures w14:val="standardContextual"/>
        </w:rPr>
      </w:pPr>
      <w:r>
        <w:fldChar w:fldCharType="begin"/>
      </w:r>
      <w:r>
        <w:instrText xml:space="preserve"> HYPERLINK \l "_Toc240753887" </w:instrText>
      </w:r>
      <w:r>
        <w:fldChar w:fldCharType="separate"/>
      </w:r>
      <w:r>
        <w:rPr>
          <w:rStyle w:val="28"/>
        </w:rPr>
        <w:t>（三）用地保障与政策支持</w:t>
      </w:r>
      <w:r>
        <w:rPr>
          <w:rFonts w:hint="eastAsia"/>
        </w:rPr>
        <w:tab/>
      </w:r>
      <w:r>
        <w:rPr>
          <w:rFonts w:hint="eastAsia"/>
        </w:rPr>
        <w:fldChar w:fldCharType="begin"/>
      </w:r>
      <w:r>
        <w:rPr>
          <w:rFonts w:hint="eastAsia"/>
        </w:rPr>
        <w:instrText xml:space="preserve"> </w:instrText>
      </w:r>
      <w:r>
        <w:instrText xml:space="preserve">PAGEREF _Toc240753887 \h</w:instrText>
      </w:r>
      <w:r>
        <w:rPr>
          <w:rFonts w:hint="eastAsia"/>
        </w:rPr>
        <w:instrText xml:space="preserve"> </w:instrText>
      </w:r>
      <w:r>
        <w:rPr>
          <w:rFonts w:hint="eastAsia"/>
        </w:rPr>
        <w:fldChar w:fldCharType="separate"/>
      </w:r>
      <w:r>
        <w:t>20</w:t>
      </w:r>
      <w:r>
        <w:rPr>
          <w:rFonts w:hint="eastAsia"/>
        </w:rPr>
        <w:fldChar w:fldCharType="end"/>
      </w:r>
      <w:r>
        <w:rPr>
          <w:rFonts w:hint="eastAsia"/>
        </w:rPr>
        <w:fldChar w:fldCharType="end"/>
      </w:r>
    </w:p>
    <w:p>
      <w:pPr>
        <w:pStyle w:val="22"/>
        <w:tabs>
          <w:tab w:val="right" w:leader="dot" w:pos="8296"/>
        </w:tabs>
        <w:ind w:left="600" w:firstLine="600"/>
        <w:rPr>
          <w:rFonts w:hint="eastAsia" w:eastAsiaTheme="minorEastAsia"/>
          <w:sz w:val="22"/>
          <w:szCs w:val="24"/>
          <w14:ligatures w14:val="standardContextual"/>
        </w:rPr>
      </w:pPr>
      <w:r>
        <w:fldChar w:fldCharType="begin"/>
      </w:r>
      <w:r>
        <w:instrText xml:space="preserve"> HYPERLINK \l "_Toc240753888" </w:instrText>
      </w:r>
      <w:r>
        <w:fldChar w:fldCharType="separate"/>
      </w:r>
      <w:r>
        <w:rPr>
          <w:rStyle w:val="28"/>
        </w:rPr>
        <w:t>（四）科技与人才保障</w:t>
      </w:r>
      <w:r>
        <w:rPr>
          <w:rFonts w:hint="eastAsia"/>
        </w:rPr>
        <w:tab/>
      </w:r>
      <w:r>
        <w:rPr>
          <w:rFonts w:hint="eastAsia"/>
        </w:rPr>
        <w:fldChar w:fldCharType="begin"/>
      </w:r>
      <w:r>
        <w:rPr>
          <w:rFonts w:hint="eastAsia"/>
        </w:rPr>
        <w:instrText xml:space="preserve"> </w:instrText>
      </w:r>
      <w:r>
        <w:instrText xml:space="preserve">PAGEREF _Toc240753888 \h</w:instrText>
      </w:r>
      <w:r>
        <w:rPr>
          <w:rFonts w:hint="eastAsia"/>
        </w:rPr>
        <w:instrText xml:space="preserve"> </w:instrText>
      </w:r>
      <w:r>
        <w:rPr>
          <w:rFonts w:hint="eastAsia"/>
        </w:rPr>
        <w:fldChar w:fldCharType="separate"/>
      </w:r>
      <w:r>
        <w:t>20</w:t>
      </w:r>
      <w:r>
        <w:rPr>
          <w:rFonts w:hint="eastAsia"/>
        </w:rPr>
        <w:fldChar w:fldCharType="end"/>
      </w:r>
      <w:r>
        <w:rPr>
          <w:rFonts w:hint="eastAsia"/>
        </w:rPr>
        <w:fldChar w:fldCharType="end"/>
      </w:r>
    </w:p>
    <w:p>
      <w:pPr>
        <w:pStyle w:val="22"/>
        <w:tabs>
          <w:tab w:val="right" w:leader="dot" w:pos="8296"/>
        </w:tabs>
        <w:ind w:left="600" w:firstLine="600"/>
        <w:rPr>
          <w:rFonts w:hint="eastAsia" w:eastAsiaTheme="minorEastAsia"/>
          <w:sz w:val="22"/>
          <w:szCs w:val="24"/>
          <w14:ligatures w14:val="standardContextual"/>
        </w:rPr>
      </w:pPr>
      <w:r>
        <w:fldChar w:fldCharType="begin"/>
      </w:r>
      <w:r>
        <w:instrText xml:space="preserve"> HYPERLINK \l "_Toc240753889" </w:instrText>
      </w:r>
      <w:r>
        <w:fldChar w:fldCharType="separate"/>
      </w:r>
      <w:r>
        <w:rPr>
          <w:rStyle w:val="28"/>
        </w:rPr>
        <w:t>（五）监管与服务保障</w:t>
      </w:r>
      <w:r>
        <w:rPr>
          <w:rFonts w:hint="eastAsia"/>
        </w:rPr>
        <w:tab/>
      </w:r>
      <w:r>
        <w:rPr>
          <w:rFonts w:hint="eastAsia"/>
        </w:rPr>
        <w:fldChar w:fldCharType="begin"/>
      </w:r>
      <w:r>
        <w:rPr>
          <w:rFonts w:hint="eastAsia"/>
        </w:rPr>
        <w:instrText xml:space="preserve"> </w:instrText>
      </w:r>
      <w:r>
        <w:instrText xml:space="preserve">PAGEREF _Toc240753889 \h</w:instrText>
      </w:r>
      <w:r>
        <w:rPr>
          <w:rFonts w:hint="eastAsia"/>
        </w:rPr>
        <w:instrText xml:space="preserve"> </w:instrText>
      </w:r>
      <w:r>
        <w:rPr>
          <w:rFonts w:hint="eastAsia"/>
        </w:rPr>
        <w:fldChar w:fldCharType="separate"/>
      </w:r>
      <w:r>
        <w:t>20</w:t>
      </w:r>
      <w:r>
        <w:rPr>
          <w:rFonts w:hint="eastAsia"/>
        </w:rPr>
        <w:fldChar w:fldCharType="end"/>
      </w:r>
      <w:r>
        <w:rPr>
          <w:rFonts w:hint="eastAsia"/>
        </w:rPr>
        <w:fldChar w:fldCharType="end"/>
      </w:r>
    </w:p>
    <w:p>
      <w:pPr>
        <w:pStyle w:val="18"/>
        <w:tabs>
          <w:tab w:val="right" w:leader="dot" w:pos="8296"/>
        </w:tabs>
        <w:ind w:firstLine="600"/>
        <w:rPr>
          <w:rFonts w:hint="eastAsia" w:eastAsiaTheme="minorEastAsia"/>
          <w:sz w:val="22"/>
          <w:szCs w:val="24"/>
          <w14:ligatures w14:val="standardContextual"/>
        </w:rPr>
      </w:pPr>
      <w:r>
        <w:fldChar w:fldCharType="begin"/>
      </w:r>
      <w:r>
        <w:instrText xml:space="preserve"> HYPERLINK \l "_Toc240753890" </w:instrText>
      </w:r>
      <w:r>
        <w:fldChar w:fldCharType="separate"/>
      </w:r>
      <w:r>
        <w:rPr>
          <w:rStyle w:val="28"/>
        </w:rPr>
        <w:t>附件一：重点项目清单</w:t>
      </w:r>
      <w:r>
        <w:rPr>
          <w:rFonts w:hint="eastAsia"/>
        </w:rPr>
        <w:tab/>
      </w:r>
      <w:r>
        <w:rPr>
          <w:rFonts w:hint="eastAsia"/>
        </w:rPr>
        <w:fldChar w:fldCharType="begin"/>
      </w:r>
      <w:r>
        <w:rPr>
          <w:rFonts w:hint="eastAsia"/>
        </w:rPr>
        <w:instrText xml:space="preserve"> </w:instrText>
      </w:r>
      <w:r>
        <w:instrText xml:space="preserve">PAGEREF _Toc240753890 \h</w:instrText>
      </w:r>
      <w:r>
        <w:rPr>
          <w:rFonts w:hint="eastAsia"/>
        </w:rPr>
        <w:instrText xml:space="preserve"> </w:instrText>
      </w:r>
      <w:r>
        <w:rPr>
          <w:rFonts w:hint="eastAsia"/>
        </w:rPr>
        <w:fldChar w:fldCharType="separate"/>
      </w:r>
      <w:r>
        <w:t>21</w:t>
      </w:r>
      <w:r>
        <w:rPr>
          <w:rFonts w:hint="eastAsia"/>
        </w:rPr>
        <w:fldChar w:fldCharType="end"/>
      </w:r>
      <w:r>
        <w:rPr>
          <w:rFonts w:hint="eastAsia"/>
        </w:rPr>
        <w:fldChar w:fldCharType="end"/>
      </w:r>
    </w:p>
    <w:p>
      <w:pPr>
        <w:pStyle w:val="18"/>
        <w:tabs>
          <w:tab w:val="right" w:leader="dot" w:pos="8296"/>
        </w:tabs>
        <w:ind w:firstLine="600"/>
        <w:rPr>
          <w:rFonts w:hint="eastAsia" w:eastAsiaTheme="minorEastAsia"/>
          <w:sz w:val="22"/>
          <w:szCs w:val="24"/>
          <w14:ligatures w14:val="standardContextual"/>
        </w:rPr>
      </w:pPr>
      <w:r>
        <w:fldChar w:fldCharType="begin"/>
      </w:r>
      <w:r>
        <w:instrText xml:space="preserve"> HYPERLINK \l "_Toc240753891" </w:instrText>
      </w:r>
      <w:r>
        <w:fldChar w:fldCharType="separate"/>
      </w:r>
      <w:r>
        <w:rPr>
          <w:rStyle w:val="28"/>
        </w:rPr>
        <w:t>附件二：规划图件</w:t>
      </w:r>
      <w:r>
        <w:rPr>
          <w:rFonts w:hint="eastAsia"/>
        </w:rPr>
        <w:tab/>
      </w:r>
      <w:r>
        <w:rPr>
          <w:rFonts w:hint="eastAsia"/>
        </w:rPr>
        <w:fldChar w:fldCharType="begin"/>
      </w:r>
      <w:r>
        <w:rPr>
          <w:rFonts w:hint="eastAsia"/>
        </w:rPr>
        <w:instrText xml:space="preserve"> </w:instrText>
      </w:r>
      <w:r>
        <w:instrText xml:space="preserve">PAGEREF _Toc240753891 \h</w:instrText>
      </w:r>
      <w:r>
        <w:rPr>
          <w:rFonts w:hint="eastAsia"/>
        </w:rPr>
        <w:instrText xml:space="preserve"> </w:instrText>
      </w:r>
      <w:r>
        <w:rPr>
          <w:rFonts w:hint="eastAsia"/>
        </w:rPr>
        <w:fldChar w:fldCharType="separate"/>
      </w:r>
      <w:r>
        <w:t>24</w:t>
      </w:r>
      <w:r>
        <w:rPr>
          <w:rFonts w:hint="eastAsia"/>
        </w:rPr>
        <w:fldChar w:fldCharType="end"/>
      </w:r>
      <w:r>
        <w:rPr>
          <w:rFonts w:hint="eastAsia"/>
        </w:rPr>
        <w:fldChar w:fldCharType="end"/>
      </w:r>
    </w:p>
    <w:p>
      <w:pPr>
        <w:pStyle w:val="18"/>
        <w:tabs>
          <w:tab w:val="right" w:leader="dot" w:pos="8296"/>
        </w:tabs>
        <w:ind w:firstLine="600"/>
        <w:rPr>
          <w:rFonts w:hint="eastAsia" w:eastAsiaTheme="minorEastAsia"/>
          <w:sz w:val="22"/>
          <w:szCs w:val="24"/>
          <w14:ligatures w14:val="standardContextual"/>
        </w:rPr>
      </w:pPr>
      <w:r>
        <w:fldChar w:fldCharType="begin"/>
      </w:r>
      <w:r>
        <w:instrText xml:space="preserve"> HYPERLINK \l "_Toc240753892" </w:instrText>
      </w:r>
      <w:r>
        <w:fldChar w:fldCharType="separate"/>
      </w:r>
      <w:r>
        <w:rPr>
          <w:rStyle w:val="28"/>
        </w:rPr>
        <w:t>附件</w:t>
      </w:r>
      <w:r>
        <w:rPr>
          <w:rStyle w:val="28"/>
          <w:rFonts w:hint="eastAsia"/>
        </w:rPr>
        <w:t>三</w:t>
      </w:r>
      <w:r>
        <w:rPr>
          <w:rStyle w:val="28"/>
        </w:rPr>
        <w:t>：规划依据</w:t>
      </w:r>
      <w:r>
        <w:rPr>
          <w:rFonts w:hint="eastAsia"/>
        </w:rPr>
        <w:tab/>
      </w:r>
      <w:r>
        <w:rPr>
          <w:rFonts w:hint="eastAsia"/>
        </w:rPr>
        <w:fldChar w:fldCharType="begin"/>
      </w:r>
      <w:r>
        <w:rPr>
          <w:rFonts w:hint="eastAsia"/>
        </w:rPr>
        <w:instrText xml:space="preserve"> </w:instrText>
      </w:r>
      <w:r>
        <w:instrText xml:space="preserve">PAGEREF _Toc240753892 \h</w:instrText>
      </w:r>
      <w:r>
        <w:rPr>
          <w:rFonts w:hint="eastAsia"/>
        </w:rPr>
        <w:instrText xml:space="preserve"> </w:instrText>
      </w:r>
      <w:r>
        <w:rPr>
          <w:rFonts w:hint="eastAsia"/>
        </w:rPr>
        <w:fldChar w:fldCharType="separate"/>
      </w:r>
      <w:r>
        <w:t>26</w:t>
      </w:r>
      <w:r>
        <w:rPr>
          <w:rFonts w:hint="eastAsia"/>
        </w:rPr>
        <w:fldChar w:fldCharType="end"/>
      </w:r>
      <w:r>
        <w:rPr>
          <w:rFonts w:hint="eastAsia"/>
        </w:rPr>
        <w:fldChar w:fldCharType="end"/>
      </w:r>
    </w:p>
    <w:p>
      <w:pPr>
        <w:pStyle w:val="18"/>
        <w:tabs>
          <w:tab w:val="right" w:leader="dot" w:pos="8296"/>
        </w:tabs>
        <w:ind w:firstLine="600"/>
        <w:rPr>
          <w:rFonts w:hint="eastAsia" w:eastAsiaTheme="minorEastAsia"/>
          <w:sz w:val="22"/>
          <w:szCs w:val="24"/>
          <w14:ligatures w14:val="standardContextual"/>
        </w:rPr>
      </w:pPr>
      <w:r>
        <w:fldChar w:fldCharType="begin"/>
      </w:r>
      <w:r>
        <w:instrText xml:space="preserve"> HYPERLINK \l "_Toc240753893" </w:instrText>
      </w:r>
      <w:r>
        <w:fldChar w:fldCharType="separate"/>
      </w:r>
      <w:r>
        <w:rPr>
          <w:rStyle w:val="28"/>
          <w:rFonts w:ascii="仿宋_GB2312" w:hAnsi="宋体"/>
        </w:rPr>
        <w:t>附件</w:t>
      </w:r>
      <w:r>
        <w:rPr>
          <w:rStyle w:val="28"/>
          <w:rFonts w:hint="eastAsia" w:ascii="仿宋_GB2312" w:hAnsi="宋体"/>
        </w:rPr>
        <w:t>四</w:t>
      </w:r>
      <w:r>
        <w:rPr>
          <w:rStyle w:val="28"/>
          <w:rFonts w:ascii="仿宋_GB2312" w:hAnsi="宋体"/>
        </w:rPr>
        <w:t>：“十四五”期间闽清县畜禽产业发展指标</w:t>
      </w:r>
      <w:r>
        <w:rPr>
          <w:rFonts w:hint="eastAsia"/>
        </w:rPr>
        <w:tab/>
      </w:r>
      <w:r>
        <w:rPr>
          <w:rFonts w:hint="eastAsia"/>
        </w:rPr>
        <w:fldChar w:fldCharType="begin"/>
      </w:r>
      <w:r>
        <w:rPr>
          <w:rFonts w:hint="eastAsia"/>
        </w:rPr>
        <w:instrText xml:space="preserve"> </w:instrText>
      </w:r>
      <w:r>
        <w:instrText xml:space="preserve">PAGEREF _Toc240753893 \h</w:instrText>
      </w:r>
      <w:r>
        <w:rPr>
          <w:rFonts w:hint="eastAsia"/>
        </w:rPr>
        <w:instrText xml:space="preserve"> </w:instrText>
      </w:r>
      <w:r>
        <w:rPr>
          <w:rFonts w:hint="eastAsia"/>
        </w:rPr>
        <w:fldChar w:fldCharType="separate"/>
      </w:r>
      <w:r>
        <w:t>29</w:t>
      </w:r>
      <w:r>
        <w:rPr>
          <w:rFonts w:hint="eastAsia"/>
        </w:rPr>
        <w:fldChar w:fldCharType="end"/>
      </w:r>
      <w:r>
        <w:rPr>
          <w:rFonts w:hint="eastAsia"/>
        </w:rPr>
        <w:fldChar w:fldCharType="end"/>
      </w:r>
    </w:p>
    <w:p>
      <w:pPr>
        <w:pStyle w:val="2"/>
        <w:ind w:firstLine="643"/>
        <w:sectPr>
          <w:pgSz w:w="11906" w:h="16838"/>
          <w:pgMar w:top="1440" w:right="1800" w:bottom="1440" w:left="1800" w:header="851" w:footer="992" w:gutter="0"/>
          <w:pgNumType w:fmt="numberInDash" w:start="1"/>
          <w:cols w:space="425" w:num="1"/>
          <w:docGrid w:type="lines" w:linePitch="408" w:charSpace="0"/>
        </w:sectPr>
      </w:pPr>
      <w:r>
        <w:fldChar w:fldCharType="end"/>
      </w:r>
      <w:r>
        <w:tab/>
      </w:r>
    </w:p>
    <w:p>
      <w:pPr>
        <w:pStyle w:val="2"/>
        <w:ind w:firstLine="643"/>
      </w:pPr>
      <w:bookmarkStart w:id="3" w:name="_Toc240753848"/>
      <w:r>
        <w:t>一、前言</w:t>
      </w:r>
      <w:bookmarkEnd w:id="3"/>
    </w:p>
    <w:p>
      <w:pPr>
        <w:pStyle w:val="3"/>
        <w:ind w:firstLine="643"/>
      </w:pPr>
      <w:bookmarkStart w:id="4" w:name="_Toc240753849"/>
      <w:r>
        <w:rPr>
          <w:rFonts w:hint="eastAsia"/>
        </w:rPr>
        <w:t>（一）规划背景</w:t>
      </w:r>
      <w:bookmarkEnd w:id="4"/>
    </w:p>
    <w:p>
      <w:pPr>
        <w:ind w:firstLine="600"/>
        <w:rPr>
          <w:rFonts w:ascii="仿宋_GB2312"/>
        </w:rPr>
      </w:pPr>
      <w:r>
        <w:rPr>
          <w:rFonts w:hint="eastAsia" w:ascii="仿宋_GB2312"/>
        </w:rPr>
        <w:t>畜牧业是闽清县农业农村经济重要支柱，承担保障“菜篮子”供给、促进农民增收的功能。“十四五”以来，全县畜牧业在产业结构、规模化与标准化建设、疫病防控、质量安全及粪污资源化利用等方面取得显著成效。步入“十五五”时期，闽清县畜牧业迎来了提质增效、融合发展的关键战略机遇期，同时也面临着一系列前所未有的“新形势”与“新挑战”。为此，本规划结合省、市、县相关政策要求，聚焦新时期发展定位，为畜牧业高质量发展提供系统性指引。</w:t>
      </w:r>
    </w:p>
    <w:p>
      <w:pPr>
        <w:ind w:firstLine="600"/>
        <w:rPr>
          <w:rFonts w:ascii="仿宋_GB2312"/>
        </w:rPr>
      </w:pPr>
      <w:r>
        <w:rPr>
          <w:rFonts w:hint="eastAsia" w:ascii="仿宋_GB2312"/>
        </w:rPr>
        <w:t>本规划期限为</w:t>
      </w:r>
      <w:r>
        <w:rPr>
          <w:rFonts w:ascii="仿宋_GB2312"/>
        </w:rPr>
        <w:t>2026-2030</w:t>
      </w:r>
      <w:r>
        <w:rPr>
          <w:rFonts w:hint="eastAsia" w:ascii="仿宋_GB2312"/>
        </w:rPr>
        <w:t>年，规划范围涵盖闽清县全境。</w:t>
      </w:r>
    </w:p>
    <w:p>
      <w:pPr>
        <w:pStyle w:val="3"/>
        <w:ind w:firstLine="643"/>
      </w:pPr>
      <w:bookmarkStart w:id="5" w:name="_Toc240753850"/>
      <w:r>
        <w:rPr>
          <w:rFonts w:hint="eastAsia"/>
        </w:rPr>
        <w:t>（二）发展机遇</w:t>
      </w:r>
      <w:bookmarkEnd w:id="5"/>
    </w:p>
    <w:p>
      <w:pPr>
        <w:pStyle w:val="4"/>
        <w:ind w:firstLine="602"/>
        <w:rPr>
          <w:color w:val="auto"/>
        </w:rPr>
      </w:pPr>
      <w:r>
        <w:rPr>
          <w:rFonts w:hint="eastAsia"/>
          <w:color w:val="auto"/>
        </w:rPr>
        <w:t>1.</w:t>
      </w:r>
      <w:r>
        <w:rPr>
          <w:color w:val="auto"/>
        </w:rPr>
        <w:t>政策红利​</w:t>
      </w:r>
    </w:p>
    <w:p>
      <w:pPr>
        <w:ind w:firstLine="600"/>
        <w:rPr>
          <w:rFonts w:ascii="仿宋_GB2312"/>
        </w:rPr>
      </w:pPr>
      <w:r>
        <w:rPr>
          <w:rFonts w:hint="eastAsia" w:ascii="仿宋_GB2312"/>
        </w:rPr>
        <w:t>国家、省、市县近年来持续强化对畜牧业的政策引导与支持，高度重视生态环境保护与可持续发展，为保障畜禽产品高质量发展，提供了良好的政策环境。</w:t>
      </w:r>
    </w:p>
    <w:p>
      <w:pPr>
        <w:pStyle w:val="4"/>
        <w:ind w:firstLine="602"/>
        <w:rPr>
          <w:color w:val="auto"/>
        </w:rPr>
      </w:pPr>
      <w:r>
        <w:rPr>
          <w:rFonts w:hint="eastAsia"/>
          <w:color w:val="auto"/>
        </w:rPr>
        <w:t>2.</w:t>
      </w:r>
      <w:r>
        <w:rPr>
          <w:color w:val="auto"/>
        </w:rPr>
        <w:t>市场需求</w:t>
      </w:r>
    </w:p>
    <w:p>
      <w:pPr>
        <w:ind w:firstLine="600"/>
        <w:rPr>
          <w:rFonts w:ascii="仿宋_GB2312"/>
        </w:rPr>
      </w:pPr>
      <w:r>
        <w:rPr>
          <w:rFonts w:hint="eastAsia" w:ascii="仿宋_GB2312"/>
        </w:rPr>
        <w:t>居民生活水平的不断提高和消费观念的转变，市场对畜禽产品的多样化、个性化需求逐渐凸显，对闽清县畜牧业的养殖结构产生重要导向作用。</w:t>
      </w:r>
    </w:p>
    <w:p>
      <w:pPr>
        <w:pStyle w:val="4"/>
        <w:ind w:firstLine="602"/>
        <w:rPr>
          <w:color w:val="auto"/>
        </w:rPr>
      </w:pPr>
      <w:r>
        <w:rPr>
          <w:rFonts w:hint="eastAsia"/>
          <w:bCs/>
          <w:color w:val="auto"/>
        </w:rPr>
        <w:t>3.</w:t>
      </w:r>
      <w:r>
        <w:rPr>
          <w:bCs/>
          <w:color w:val="auto"/>
        </w:rPr>
        <w:t>技术驱动</w:t>
      </w:r>
    </w:p>
    <w:p>
      <w:pPr>
        <w:ind w:firstLine="600"/>
      </w:pPr>
      <w:r>
        <w:rPr>
          <w:rFonts w:hint="eastAsia" w:ascii="仿宋_GB2312"/>
        </w:rPr>
        <w:t>新技术的不断涌现，带来了前所未有的机遇。如智能养殖技术、疫病检测技术、区块链追溯技术、循环农业模式等，为畜牧业高质量发展，提供新的发展动力。</w:t>
      </w:r>
    </w:p>
    <w:p>
      <w:pPr>
        <w:pStyle w:val="3"/>
        <w:ind w:firstLine="643"/>
      </w:pPr>
      <w:bookmarkStart w:id="6" w:name="_Toc240753851"/>
      <w:r>
        <w:rPr>
          <w:rFonts w:hint="eastAsia"/>
        </w:rPr>
        <w:t>（三）</w:t>
      </w:r>
      <w:r>
        <w:t>发展定位</w:t>
      </w:r>
      <w:bookmarkEnd w:id="6"/>
    </w:p>
    <w:p>
      <w:pPr>
        <w:ind w:firstLine="600"/>
        <w:rPr>
          <w:rFonts w:ascii="仿宋_GB2312"/>
        </w:rPr>
      </w:pPr>
      <w:r>
        <w:rPr>
          <w:rFonts w:hint="eastAsia" w:ascii="仿宋_GB2312"/>
        </w:rPr>
        <w:t>以“生态型、科技型、循环型”为总体发展方向，“稳产能、调结构、强链条、保安全”。即：确保生猪、家禽等主要畜禽产品的稳定供应；优化畜种结构，增加特色畜禽和草食动物的养殖比重；加强畜牧业产业链建设，构建“养殖</w:t>
      </w:r>
      <w:r>
        <w:rPr>
          <w:rFonts w:ascii="仿宋_GB2312"/>
        </w:rPr>
        <w:t>-</w:t>
      </w:r>
      <w:r>
        <w:rPr>
          <w:rFonts w:hint="eastAsia" w:ascii="仿宋_GB2312"/>
        </w:rPr>
        <w:t>加工</w:t>
      </w:r>
      <w:r>
        <w:rPr>
          <w:rFonts w:ascii="仿宋_GB2312"/>
        </w:rPr>
        <w:t>-</w:t>
      </w:r>
      <w:r>
        <w:rPr>
          <w:rFonts w:hint="eastAsia" w:ascii="仿宋_GB2312"/>
        </w:rPr>
        <w:t>流通</w:t>
      </w:r>
      <w:r>
        <w:rPr>
          <w:rFonts w:ascii="仿宋_GB2312"/>
        </w:rPr>
        <w:t>-</w:t>
      </w:r>
      <w:r>
        <w:rPr>
          <w:rFonts w:hint="eastAsia" w:ascii="仿宋_GB2312"/>
        </w:rPr>
        <w:t>品牌”全产业链；强化疫病防控和质量安全监管，保障人民群众的身体健康。充分发挥地方资源优势和生态优势，推动畜牧业与生态环境和谐共生。</w:t>
      </w:r>
    </w:p>
    <w:p>
      <w:pPr>
        <w:pStyle w:val="3"/>
        <w:ind w:firstLine="643"/>
        <w:rPr>
          <w:rFonts w:ascii="楷体_GB2312" w:eastAsia="楷体_GB2312"/>
        </w:rPr>
      </w:pPr>
      <w:bookmarkStart w:id="7" w:name="_Toc240753852"/>
      <w:r>
        <w:t>​</w:t>
      </w:r>
      <w:bookmarkEnd w:id="7"/>
      <w:bookmarkStart w:id="8" w:name="_Toc240753853"/>
      <w:r>
        <w:rPr>
          <w:rFonts w:hint="eastAsia" w:ascii="楷体_GB2312" w:eastAsia="楷体_GB2312"/>
        </w:rPr>
        <w:t>二、“十四五</w:t>
      </w:r>
      <w:bookmarkStart w:id="9" w:name="OLE_LINK45"/>
      <w:bookmarkStart w:id="10" w:name="OLE_LINK42"/>
      <w:r>
        <w:rPr>
          <w:rFonts w:hint="eastAsia" w:ascii="楷体_GB2312" w:eastAsia="楷体_GB2312"/>
        </w:rPr>
        <w:t>”</w:t>
      </w:r>
      <w:bookmarkEnd w:id="9"/>
      <w:bookmarkEnd w:id="10"/>
      <w:r>
        <w:rPr>
          <w:rFonts w:hint="eastAsia" w:ascii="楷体_GB2312" w:eastAsia="楷体_GB2312"/>
        </w:rPr>
        <w:t>畜牧业规划回顾</w:t>
      </w:r>
      <w:bookmarkEnd w:id="8"/>
    </w:p>
    <w:p>
      <w:pPr>
        <w:pStyle w:val="3"/>
        <w:ind w:firstLine="643"/>
      </w:pPr>
      <w:bookmarkStart w:id="11" w:name="_Toc240753854"/>
      <w:r>
        <w:rPr>
          <w:rFonts w:hint="eastAsia"/>
        </w:rPr>
        <w:t>（一）</w:t>
      </w:r>
      <w:r>
        <w:t>主要成效​</w:t>
      </w:r>
      <w:bookmarkEnd w:id="11"/>
    </w:p>
    <w:p>
      <w:pPr>
        <w:ind w:firstLine="600"/>
        <w:rPr>
          <w:rFonts w:ascii="仿宋_GB2312"/>
        </w:rPr>
      </w:pPr>
      <w:r>
        <w:rPr>
          <w:rFonts w:hint="eastAsia" w:ascii="仿宋_GB2312"/>
        </w:rPr>
        <w:t>“十四五”期间，肉蛋奶总产量年均</w:t>
      </w:r>
      <w:r>
        <w:rPr>
          <w:rFonts w:ascii="仿宋_GB2312"/>
        </w:rPr>
        <w:t>复合</w:t>
      </w:r>
      <w:r>
        <w:rPr>
          <w:rFonts w:hint="eastAsia" w:ascii="仿宋_GB2312"/>
        </w:rPr>
        <w:t>增长率达9.63</w:t>
      </w:r>
      <w:r>
        <w:rPr>
          <w:rFonts w:ascii="仿宋_GB2312"/>
        </w:rPr>
        <w:t>%</w:t>
      </w:r>
      <w:r>
        <w:rPr>
          <w:rFonts w:hint="eastAsia" w:ascii="仿宋_GB2312"/>
        </w:rPr>
        <w:t>，其中禽蛋增速12.46</w:t>
      </w:r>
      <w:r>
        <w:rPr>
          <w:rFonts w:ascii="仿宋_GB2312"/>
        </w:rPr>
        <w:t>%</w:t>
      </w:r>
      <w:r>
        <w:rPr>
          <w:rFonts w:hint="eastAsia" w:ascii="仿宋_GB2312"/>
        </w:rPr>
        <w:t>、肉类增速6.27</w:t>
      </w:r>
      <w:r>
        <w:rPr>
          <w:rFonts w:ascii="仿宋_GB2312"/>
        </w:rPr>
        <w:t>%</w:t>
      </w:r>
      <w:r>
        <w:rPr>
          <w:rFonts w:hint="eastAsia" w:ascii="仿宋_GB2312"/>
        </w:rPr>
        <w:t>，产业通过“蛋肉协同”实现规模效益。</w:t>
      </w:r>
      <w:bookmarkStart w:id="12" w:name="OLE_LINK54"/>
      <w:r>
        <w:rPr>
          <w:rFonts w:hint="eastAsia" w:ascii="仿宋_GB2312"/>
        </w:rPr>
        <w:t>2025年，全县</w:t>
      </w:r>
      <w:bookmarkEnd w:id="12"/>
      <w:r>
        <w:rPr>
          <w:rFonts w:hint="eastAsia" w:ascii="仿宋_GB2312"/>
        </w:rPr>
        <w:t>肉蛋奶总产量达</w:t>
      </w:r>
      <w:r>
        <w:rPr>
          <w:rFonts w:ascii="仿宋_GB2312"/>
        </w:rPr>
        <w:t>490</w:t>
      </w:r>
      <w:r>
        <w:rPr>
          <w:rFonts w:hint="eastAsia" w:ascii="仿宋_GB2312"/>
        </w:rPr>
        <w:t>95.88吨，其中</w:t>
      </w:r>
      <w:r>
        <w:rPr>
          <w:rFonts w:hint="eastAsia" w:ascii="仿宋_GB2312"/>
          <w:szCs w:val="30"/>
        </w:rPr>
        <w:t>猪肉产量</w:t>
      </w:r>
      <w:r>
        <w:rPr>
          <w:rFonts w:hint="eastAsia" w:ascii="仿宋_GB2312"/>
          <w:bCs/>
          <w:szCs w:val="30"/>
        </w:rPr>
        <w:t>15192.34吨</w:t>
      </w:r>
      <w:r>
        <w:rPr>
          <w:rFonts w:hint="eastAsia" w:ascii="仿宋_GB2312"/>
          <w:szCs w:val="30"/>
        </w:rPr>
        <w:t>，均</w:t>
      </w:r>
      <w:r>
        <w:rPr>
          <w:rFonts w:hint="eastAsia" w:ascii="仿宋_GB2312"/>
        </w:rPr>
        <w:t>超额完成“十四五”既定产能目标。</w:t>
      </w:r>
      <w:r>
        <w:rPr>
          <w:rFonts w:hint="eastAsia" w:ascii="仿宋_GB2312"/>
          <w:szCs w:val="30"/>
        </w:rPr>
        <w:t>规模养殖场粪污设施配套率100%，粪污综合利用率</w:t>
      </w:r>
      <w:r>
        <w:rPr>
          <w:rFonts w:ascii="仿宋_GB2312"/>
          <w:bCs/>
          <w:szCs w:val="30"/>
        </w:rPr>
        <w:t>93.38%</w:t>
      </w:r>
      <w:r>
        <w:rPr>
          <w:rFonts w:hint="eastAsia" w:ascii="仿宋_GB2312"/>
          <w:szCs w:val="30"/>
        </w:rPr>
        <w:t>。</w:t>
      </w:r>
    </w:p>
    <w:p>
      <w:pPr>
        <w:pStyle w:val="3"/>
        <w:ind w:firstLine="643"/>
      </w:pPr>
      <w:bookmarkStart w:id="13" w:name="_Toc240753855"/>
      <w:r>
        <w:rPr>
          <w:rFonts w:hint="eastAsia"/>
        </w:rPr>
        <w:t>（二）总</w:t>
      </w:r>
      <w:r>
        <w:t>目标完成情况</w:t>
      </w:r>
      <w:bookmarkEnd w:id="13"/>
    </w:p>
    <w:p>
      <w:pPr>
        <w:ind w:firstLine="600"/>
        <w:rPr>
          <w:rFonts w:ascii="仿宋_GB2312"/>
        </w:rPr>
      </w:pPr>
      <w:r>
        <w:rPr>
          <w:rFonts w:hint="eastAsia" w:ascii="仿宋_GB2312"/>
        </w:rPr>
        <w:t>生猪出栏</w:t>
      </w:r>
      <w:r>
        <w:rPr>
          <w:rFonts w:ascii="仿宋_GB2312"/>
        </w:rPr>
        <w:t>控制在10～25</w:t>
      </w:r>
      <w:r>
        <w:rPr>
          <w:rFonts w:hint="eastAsia" w:ascii="仿宋_GB2312"/>
        </w:rPr>
        <w:t>万头</w:t>
      </w:r>
      <w:r>
        <w:rPr>
          <w:rFonts w:ascii="仿宋_GB2312"/>
        </w:rPr>
        <w:t>调控目标</w:t>
      </w:r>
      <w:r>
        <w:rPr>
          <w:rFonts w:hint="eastAsia" w:ascii="仿宋_GB2312"/>
        </w:rPr>
        <w:t>。培育了</w:t>
      </w:r>
      <w:r>
        <w:rPr>
          <w:rFonts w:ascii="仿宋_GB2312"/>
        </w:rPr>
        <w:t>2</w:t>
      </w:r>
      <w:r>
        <w:rPr>
          <w:rFonts w:hint="eastAsia" w:ascii="仿宋_GB2312"/>
        </w:rPr>
        <w:t>家合计年存栏</w:t>
      </w:r>
      <w:r>
        <w:rPr>
          <w:rFonts w:ascii="仿宋_GB2312"/>
        </w:rPr>
        <w:t>130</w:t>
      </w:r>
      <w:r>
        <w:rPr>
          <w:rFonts w:hint="eastAsia" w:ascii="仿宋_GB2312"/>
        </w:rPr>
        <w:t>万羽的蛋鸡场、</w:t>
      </w:r>
      <w:r>
        <w:rPr>
          <w:rFonts w:ascii="仿宋_GB2312"/>
        </w:rPr>
        <w:t>1</w:t>
      </w:r>
      <w:r>
        <w:rPr>
          <w:rFonts w:hint="eastAsia" w:ascii="仿宋_GB2312"/>
        </w:rPr>
        <w:t>家骡鸭种鸭场</w:t>
      </w:r>
      <w:r>
        <w:rPr>
          <w:rFonts w:ascii="仿宋_GB2312"/>
        </w:rPr>
        <w:t>以及1</w:t>
      </w:r>
      <w:r>
        <w:rPr>
          <w:rFonts w:hint="eastAsia" w:ascii="仿宋_GB2312"/>
        </w:rPr>
        <w:t>家闽清毛脚鸡保种场，家禽养殖达到了预期目标，但牛羊等草食动物的养殖与规划目标存在差距；主要畜禽产品抽检合格率、饲料产品合格率均实现了规划设定的安全目标。</w:t>
      </w:r>
      <w:r>
        <w:rPr>
          <w:rFonts w:ascii="Cambria Math" w:hAnsi="Cambria Math" w:cs="Cambria Math"/>
        </w:rPr>
        <w:t>​</w:t>
      </w:r>
    </w:p>
    <w:p>
      <w:pPr>
        <w:pStyle w:val="3"/>
        <w:ind w:firstLine="643"/>
      </w:pPr>
      <w:bookmarkStart w:id="14" w:name="_Toc240753856"/>
      <w:r>
        <w:rPr>
          <w:rFonts w:hint="eastAsia"/>
        </w:rPr>
        <w:t>（三）产业目标完成情况</w:t>
      </w:r>
      <w:bookmarkEnd w:id="14"/>
    </w:p>
    <w:p>
      <w:pPr>
        <w:ind w:firstLine="602"/>
        <w:rPr>
          <w:rFonts w:ascii="仿宋_GB2312"/>
          <w:b/>
          <w:bCs/>
        </w:rPr>
      </w:pPr>
      <w:r>
        <w:rPr>
          <w:rFonts w:ascii="仿宋_GB2312"/>
          <w:b/>
          <w:bCs/>
        </w:rPr>
        <w:t>1.</w:t>
      </w:r>
      <w:r>
        <w:rPr>
          <w:rFonts w:hint="eastAsia" w:ascii="仿宋_GB2312"/>
          <w:b/>
          <w:bCs/>
        </w:rPr>
        <w:t>生猪产业：效率提升与区域集聚双轮驱动</w:t>
      </w:r>
    </w:p>
    <w:p>
      <w:pPr>
        <w:ind w:firstLine="600"/>
        <w:rPr>
          <w:rFonts w:ascii="仿宋_GB2312"/>
        </w:rPr>
      </w:pPr>
      <w:r>
        <w:rPr>
          <w:rFonts w:ascii="仿宋_GB2312"/>
        </w:rPr>
        <w:t>2025年</w:t>
      </w:r>
      <w:r>
        <w:rPr>
          <w:rFonts w:hint="eastAsia" w:ascii="仿宋_GB2312"/>
        </w:rPr>
        <w:t>，</w:t>
      </w:r>
      <w:r>
        <w:rPr>
          <w:rFonts w:ascii="仿宋_GB2312"/>
        </w:rPr>
        <w:t>全县生猪存栏79232头，五年</w:t>
      </w:r>
      <w:r>
        <w:rPr>
          <w:rFonts w:hint="eastAsia" w:ascii="仿宋_GB2312"/>
        </w:rPr>
        <w:t>间</w:t>
      </w:r>
      <w:r>
        <w:rPr>
          <w:rFonts w:ascii="仿宋_GB2312"/>
        </w:rPr>
        <w:t>年均下降0.35%；</w:t>
      </w:r>
      <w:r>
        <w:rPr>
          <w:rFonts w:hint="eastAsia" w:ascii="仿宋_GB2312"/>
        </w:rPr>
        <w:t>但生猪出栏量</w:t>
      </w:r>
      <w:r>
        <w:rPr>
          <w:rFonts w:ascii="仿宋_GB2312"/>
        </w:rPr>
        <w:t>2025</w:t>
      </w:r>
      <w:r>
        <w:rPr>
          <w:rFonts w:hint="eastAsia" w:ascii="仿宋_GB2312"/>
        </w:rPr>
        <w:t>年增至</w:t>
      </w:r>
      <w:r>
        <w:rPr>
          <w:rFonts w:ascii="仿宋_GB2312"/>
        </w:rPr>
        <w:t>18.93</w:t>
      </w:r>
      <w:r>
        <w:rPr>
          <w:rFonts w:hint="eastAsia" w:ascii="仿宋_GB2312"/>
        </w:rPr>
        <w:t>万头，年均增长</w:t>
      </w:r>
      <w:r>
        <w:rPr>
          <w:rFonts w:ascii="仿宋_GB2312"/>
        </w:rPr>
        <w:t>7.</w:t>
      </w:r>
      <w:r>
        <w:rPr>
          <w:rFonts w:hint="eastAsia" w:ascii="仿宋_GB2312"/>
        </w:rPr>
        <w:t>46</w:t>
      </w:r>
      <w:r>
        <w:rPr>
          <w:rFonts w:ascii="仿宋_GB2312"/>
        </w:rPr>
        <w:t>%</w:t>
      </w:r>
      <w:r>
        <w:rPr>
          <w:rFonts w:hint="eastAsia" w:ascii="仿宋_GB2312"/>
        </w:rPr>
        <w:t>。</w:t>
      </w:r>
      <w:r>
        <w:rPr>
          <w:rFonts w:ascii="仿宋_GB2312"/>
        </w:rPr>
        <w:t xml:space="preserve">实现 </w:t>
      </w:r>
      <w:r>
        <w:rPr>
          <w:rFonts w:hint="eastAsia" w:ascii="仿宋_GB2312"/>
        </w:rPr>
        <w:t>“</w:t>
      </w:r>
      <w:r>
        <w:rPr>
          <w:rFonts w:ascii="仿宋_GB2312"/>
        </w:rPr>
        <w:t>存栏稳量、出栏大幅提升、产量稳步增长</w:t>
      </w:r>
      <w:r>
        <w:rPr>
          <w:rFonts w:hint="eastAsia" w:ascii="仿宋_GB2312"/>
        </w:rPr>
        <w:t>”</w:t>
      </w:r>
      <w:r>
        <w:rPr>
          <w:rFonts w:ascii="仿宋_GB2312"/>
        </w:rPr>
        <w:t>高效发展模式。</w:t>
      </w:r>
    </w:p>
    <w:p>
      <w:pPr>
        <w:ind w:firstLine="602"/>
        <w:rPr>
          <w:rFonts w:ascii="仿宋_GB2312"/>
        </w:rPr>
      </w:pPr>
      <w:r>
        <w:rPr>
          <w:rFonts w:ascii="仿宋_GB2312"/>
          <w:b/>
          <w:bCs/>
        </w:rPr>
        <w:t>2.</w:t>
      </w:r>
      <w:r>
        <w:rPr>
          <w:rFonts w:hint="eastAsia" w:ascii="仿宋_GB2312"/>
          <w:b/>
          <w:bCs/>
        </w:rPr>
        <w:t>家禽产业：蛋禽领跑增长，驱动畜牧经济发展</w:t>
      </w:r>
    </w:p>
    <w:p>
      <w:pPr>
        <w:ind w:firstLine="600"/>
        <w:rPr>
          <w:rFonts w:ascii="仿宋_GB2312"/>
        </w:rPr>
      </w:pPr>
      <w:r>
        <w:rPr>
          <w:rFonts w:ascii="仿宋_GB2312"/>
        </w:rPr>
        <w:t>2025年，家禽存栏239.77万羽</w:t>
      </w:r>
      <w:r>
        <w:rPr>
          <w:rFonts w:hint="eastAsia" w:ascii="仿宋_GB2312"/>
        </w:rPr>
        <w:t>。蛋禽养殖爆发式增长，</w:t>
      </w:r>
      <w:r>
        <w:rPr>
          <w:rFonts w:ascii="仿宋_GB2312"/>
        </w:rPr>
        <w:t>蛋禽</w:t>
      </w:r>
      <w:r>
        <w:rPr>
          <w:rFonts w:hint="eastAsia" w:ascii="仿宋_GB2312"/>
        </w:rPr>
        <w:t>产量达</w:t>
      </w:r>
      <w:r>
        <w:rPr>
          <w:rFonts w:ascii="仿宋_GB2312"/>
        </w:rPr>
        <w:t>2.89</w:t>
      </w:r>
      <w:r>
        <w:rPr>
          <w:rFonts w:hint="eastAsia" w:ascii="仿宋_GB2312"/>
        </w:rPr>
        <w:t>万吨，年均增速12.46</w:t>
      </w:r>
      <w:r>
        <w:rPr>
          <w:rFonts w:ascii="仿宋_GB2312"/>
        </w:rPr>
        <w:t>%</w:t>
      </w:r>
      <w:r>
        <w:rPr>
          <w:rFonts w:hint="eastAsia" w:ascii="仿宋_GB2312"/>
        </w:rPr>
        <w:t>，占全县肉蛋奶总产量比重</w:t>
      </w:r>
      <w:r>
        <w:rPr>
          <w:rFonts w:ascii="仿宋_GB2312"/>
        </w:rPr>
        <w:t>58.9%</w:t>
      </w:r>
      <w:r>
        <w:rPr>
          <w:rFonts w:hint="eastAsia" w:ascii="仿宋_GB2312"/>
        </w:rPr>
        <w:t>，其中鸡蛋占比稳定在85</w:t>
      </w:r>
      <w:r>
        <w:rPr>
          <w:rFonts w:ascii="仿宋_GB2312"/>
        </w:rPr>
        <w:t>%</w:t>
      </w:r>
      <w:r>
        <w:rPr>
          <w:rFonts w:hint="eastAsia" w:ascii="仿宋_GB2312"/>
        </w:rPr>
        <w:t>左右。</w:t>
      </w:r>
    </w:p>
    <w:p>
      <w:pPr>
        <w:ind w:firstLine="602"/>
        <w:rPr>
          <w:rFonts w:ascii="仿宋_GB2312"/>
          <w:b/>
          <w:bCs/>
        </w:rPr>
      </w:pPr>
      <w:r>
        <w:rPr>
          <w:rFonts w:ascii="仿宋_GB2312"/>
          <w:b/>
          <w:bCs/>
        </w:rPr>
        <w:t>3.草食动物产业：规模扩张，生态养殖模式破题</w:t>
      </w:r>
    </w:p>
    <w:p>
      <w:pPr>
        <w:ind w:firstLine="600"/>
        <w:rPr>
          <w:rFonts w:ascii="仿宋_GB2312"/>
        </w:rPr>
      </w:pPr>
      <w:r>
        <w:rPr>
          <w:rFonts w:ascii="仿宋_GB2312"/>
        </w:rPr>
        <w:t>牛产业稳步提升，</w:t>
      </w:r>
      <w:r>
        <w:rPr>
          <w:rFonts w:hint="eastAsia" w:ascii="仿宋_GB2312"/>
        </w:rPr>
        <w:t>2025年，</w:t>
      </w:r>
      <w:r>
        <w:rPr>
          <w:rFonts w:ascii="仿宋_GB2312"/>
        </w:rPr>
        <w:t>出栏量增至1102头，5年年均增长8.26%，良种覆盖率100%；</w:t>
      </w:r>
      <w:r>
        <w:rPr>
          <w:rFonts w:hint="eastAsia" w:ascii="仿宋_GB2312"/>
        </w:rPr>
        <w:t>但</w:t>
      </w:r>
      <w:r>
        <w:rPr>
          <w:rFonts w:ascii="仿宋_GB2312"/>
        </w:rPr>
        <w:t>羊存栏、兔存栏规模收缩</w:t>
      </w:r>
      <w:r>
        <w:rPr>
          <w:rFonts w:hint="eastAsia" w:ascii="仿宋_GB2312"/>
        </w:rPr>
        <w:t>，</w:t>
      </w:r>
      <w:r>
        <w:rPr>
          <w:rFonts w:ascii="仿宋_GB2312"/>
        </w:rPr>
        <w:t>蜜蜂养殖体量有限。</w:t>
      </w:r>
    </w:p>
    <w:p>
      <w:pPr>
        <w:pStyle w:val="2"/>
        <w:ind w:firstLine="643"/>
        <w:rPr>
          <w:rFonts w:hint="eastAsia" w:ascii="楷体_GB2312" w:eastAsia="楷体_GB2312"/>
        </w:rPr>
      </w:pPr>
      <w:bookmarkStart w:id="15" w:name="_Toc240753857"/>
      <w:r>
        <w:rPr>
          <w:rFonts w:hint="eastAsia"/>
        </w:rPr>
        <w:t>三</w:t>
      </w:r>
      <w:r>
        <w:t>、</w:t>
      </w:r>
      <w:r>
        <w:rPr>
          <w:rFonts w:hint="eastAsia" w:ascii="楷体_GB2312" w:eastAsia="楷体_GB2312"/>
        </w:rPr>
        <w:t>“十五五”畜牧业发展基础分析</w:t>
      </w:r>
      <w:bookmarkEnd w:id="15"/>
    </w:p>
    <w:p>
      <w:pPr>
        <w:pStyle w:val="3"/>
        <w:ind w:firstLine="643"/>
        <w:rPr>
          <w:bCs/>
        </w:rPr>
      </w:pPr>
      <w:bookmarkStart w:id="16" w:name="_Toc240753858"/>
      <w:r>
        <w:rPr>
          <w:bCs/>
        </w:rPr>
        <w:t>（一）产业现状</w:t>
      </w:r>
      <w:bookmarkEnd w:id="16"/>
    </w:p>
    <w:p>
      <w:pPr>
        <w:ind w:firstLine="600"/>
        <w:rPr>
          <w:rFonts w:ascii="仿宋_GB2312"/>
        </w:rPr>
      </w:pPr>
      <w:r>
        <w:rPr>
          <w:rFonts w:ascii="仿宋_GB2312"/>
        </w:rPr>
        <w:t>2020</w:t>
      </w:r>
      <w:r>
        <w:rPr>
          <w:rFonts w:ascii="仿宋_GB2312"/>
        </w:rPr>
        <w:noBreakHyphen/>
      </w:r>
      <w:r>
        <w:rPr>
          <w:rFonts w:ascii="仿宋_GB2312"/>
        </w:rPr>
        <w:t>2025年，闽清县畜牧业由</w:t>
      </w:r>
      <w:r>
        <w:rPr>
          <w:rFonts w:hint="eastAsia" w:ascii="仿宋_GB2312"/>
        </w:rPr>
        <w:t>“猪禽为主”</w:t>
      </w:r>
      <w:r>
        <w:rPr>
          <w:rFonts w:ascii="仿宋_GB2312"/>
        </w:rPr>
        <w:t>逐步转向猪禽稳量、草食扩量、特色增量多元格局，整体呈现</w:t>
      </w:r>
      <w:r>
        <w:rPr>
          <w:rFonts w:hint="eastAsia" w:ascii="仿宋_GB2312"/>
        </w:rPr>
        <w:t>“禽蛋领跑、肉类稳增”特征，产业结构向“以蛋为主、肉蛋并重”转变。</w:t>
      </w:r>
    </w:p>
    <w:p>
      <w:pPr>
        <w:ind w:firstLine="600"/>
        <w:rPr>
          <w:rFonts w:ascii="仿宋_GB2312"/>
        </w:rPr>
      </w:pPr>
      <w:r>
        <w:rPr>
          <w:rFonts w:hint="eastAsia" w:ascii="仿宋_GB2312"/>
        </w:rPr>
        <w:t>生猪产能总体平稳，2025年末存栏79232头、出栏189370头，养殖效率明显提升；产能集中于县中南部、东部乡镇，省璜、白中、东桥为第一梯队，塔庄、上莲、金沙、坂东、梅溪为第二梯队，两大集群合计占据全县超8成生猪及能繁母猪存栏，形成稳固核心发展带。</w:t>
      </w:r>
    </w:p>
    <w:p>
      <w:pPr>
        <w:ind w:firstLine="600"/>
        <w:rPr>
          <w:rFonts w:ascii="仿宋_GB2312"/>
        </w:rPr>
      </w:pPr>
      <w:r>
        <w:rPr>
          <w:rFonts w:hint="eastAsia" w:ascii="仿宋_GB2312"/>
        </w:rPr>
        <w:t>家禽产业增长突出，蛋鸡高度集聚桔林、下祝、云龙三乡镇，合计占全县蛋鸡存栏89.90%，蛋品合格率99.8%；肉鸡、肉鸭也形成片区化布局，核心乡镇集聚效应明显。</w:t>
      </w:r>
    </w:p>
    <w:p>
      <w:pPr>
        <w:ind w:firstLine="600"/>
        <w:rPr>
          <w:rFonts w:ascii="仿宋_GB2312"/>
        </w:rPr>
      </w:pPr>
      <w:r>
        <w:rPr>
          <w:rFonts w:hint="eastAsia" w:ascii="仿宋_GB2312"/>
        </w:rPr>
        <w:t>草食动物稳步发展。肉牛集中在塔庄、坂东、省璜等乡镇，山羊以东桥、坂东、白中等乡镇为主，推广“放牧+补饲”模式，粪污就近供给林地农田。家兔形成小规模生态养殖；羊整体存栏有所收缩；鹿、蜜蜂尚处于试点阶段。</w:t>
      </w:r>
    </w:p>
    <w:p>
      <w:pPr>
        <w:pStyle w:val="3"/>
        <w:ind w:firstLine="643"/>
        <w:rPr>
          <w:bCs/>
        </w:rPr>
      </w:pPr>
      <w:bookmarkStart w:id="17" w:name="_Toc240753859"/>
      <w:r>
        <w:rPr>
          <w:bCs/>
        </w:rPr>
        <w:t>（二）生态与安全基础</w:t>
      </w:r>
      <w:bookmarkEnd w:id="17"/>
    </w:p>
    <w:p>
      <w:pPr>
        <w:ind w:firstLine="600"/>
        <w:rPr>
          <w:rFonts w:ascii="仿宋_GB2312"/>
        </w:rPr>
      </w:pPr>
      <w:r>
        <w:rPr>
          <w:rFonts w:hint="eastAsia" w:ascii="仿宋_GB2312"/>
        </w:rPr>
        <w:t>2025年畜禽粪污综合利用率93.38%，规模养殖场粪污处理设施配套率100%，普遍配套沼气池、储液池、堆肥场，推广“猪</w:t>
      </w:r>
      <w:r>
        <w:rPr>
          <w:rFonts w:hint="eastAsia" w:ascii="仿宋_GB2312"/>
        </w:rPr>
        <w:noBreakHyphen/>
      </w:r>
      <w:r>
        <w:rPr>
          <w:rFonts w:hint="eastAsia" w:ascii="仿宋_GB2312"/>
        </w:rPr>
        <w:t>沼</w:t>
      </w:r>
      <w:r>
        <w:rPr>
          <w:rFonts w:hint="eastAsia" w:ascii="仿宋_GB2312"/>
        </w:rPr>
        <w:noBreakHyphen/>
      </w:r>
      <w:r>
        <w:rPr>
          <w:rFonts w:hint="eastAsia" w:ascii="仿宋_GB2312"/>
        </w:rPr>
        <w:t>果（菜、林）”循环模式。疫病防控体系持续完善，建成县级兽医实验室，落实强制免疫，未发生区域性重大动物疫情。产品质量安全监管不断强化，构建养殖</w:t>
      </w:r>
      <w:r>
        <w:rPr>
          <w:rFonts w:hint="eastAsia" w:ascii="仿宋_GB2312"/>
        </w:rPr>
        <w:noBreakHyphen/>
      </w:r>
      <w:r>
        <w:rPr>
          <w:rFonts w:hint="eastAsia" w:ascii="仿宋_GB2312"/>
        </w:rPr>
        <w:t>屠宰</w:t>
      </w:r>
      <w:r>
        <w:rPr>
          <w:rFonts w:hint="eastAsia" w:ascii="仿宋_GB2312"/>
        </w:rPr>
        <w:noBreakHyphen/>
      </w:r>
      <w:r>
        <w:rPr>
          <w:rFonts w:hint="eastAsia" w:ascii="仿宋_GB2312"/>
        </w:rPr>
        <w:t>流通追溯体系，2025年畜禽产品抽检合格率100%，拥有2个畜牧地理标志证明商标。</w:t>
      </w:r>
    </w:p>
    <w:p>
      <w:pPr>
        <w:ind w:firstLine="602"/>
        <w:rPr>
          <w:rFonts w:ascii="仿宋_GB2312"/>
          <w:b/>
          <w:bCs/>
        </w:rPr>
      </w:pPr>
      <w:r>
        <w:rPr>
          <w:rFonts w:hint="eastAsia" w:ascii="仿宋_GB2312"/>
          <w:b/>
          <w:bCs/>
        </w:rPr>
        <w:t>（三</w:t>
      </w:r>
      <w:r>
        <w:rPr>
          <w:rFonts w:ascii="仿宋_GB2312"/>
          <w:b/>
          <w:bCs/>
        </w:rPr>
        <w:t>）面临挑战</w:t>
      </w:r>
    </w:p>
    <w:p>
      <w:pPr>
        <w:ind w:firstLine="600"/>
        <w:rPr>
          <w:rFonts w:ascii="仿宋_GB2312"/>
        </w:rPr>
      </w:pPr>
      <w:r>
        <w:rPr>
          <w:rFonts w:hint="eastAsia" w:ascii="仿宋_GB2312"/>
        </w:rPr>
        <w:t>全</w:t>
      </w:r>
      <w:r>
        <w:rPr>
          <w:rFonts w:ascii="仿宋_GB2312"/>
        </w:rPr>
        <w:t>县土地承载力有限</w:t>
      </w:r>
      <w:r>
        <w:rPr>
          <w:rFonts w:hint="eastAsia" w:ascii="仿宋_GB2312"/>
        </w:rPr>
        <w:t>，</w:t>
      </w:r>
      <w:r>
        <w:rPr>
          <w:rFonts w:ascii="仿宋_GB2312"/>
        </w:rPr>
        <w:t>福建省《畜禽养殖业污染排放与控制标准》（DB35/2324-2026）新规实施倒逼养殖模式转型升级</w:t>
      </w:r>
      <w:r>
        <w:rPr>
          <w:rFonts w:hint="eastAsia" w:ascii="仿宋_GB2312"/>
        </w:rPr>
        <w:t>；</w:t>
      </w:r>
      <w:r>
        <w:rPr>
          <w:rFonts w:ascii="仿宋_GB2312"/>
        </w:rPr>
        <w:t>产业链短板明显，畜禽多以初级产品外销，精深加工、知名品牌缺失，产品附加值不高</w:t>
      </w:r>
      <w:r>
        <w:rPr>
          <w:rFonts w:hint="eastAsia" w:ascii="仿宋_GB2312"/>
        </w:rPr>
        <w:t>；</w:t>
      </w:r>
      <w:r>
        <w:rPr>
          <w:rFonts w:ascii="仿宋_GB2312"/>
        </w:rPr>
        <w:t>良种多依赖外部引进，地方畜禽品种开发不足，机械化水平有待提升</w:t>
      </w:r>
      <w:r>
        <w:rPr>
          <w:rFonts w:hint="eastAsia" w:ascii="仿宋_GB2312"/>
        </w:rPr>
        <w:t>；</w:t>
      </w:r>
      <w:r>
        <w:rPr>
          <w:rFonts w:ascii="仿宋_GB2312"/>
        </w:rPr>
        <w:t>产业结构韧性偏弱，猪禽占比超90%，特色养殖占比偏低，市场与防疫双重压力凸显。</w:t>
      </w:r>
    </w:p>
    <w:p>
      <w:pPr>
        <w:pStyle w:val="2"/>
        <w:ind w:firstLine="643"/>
        <w:rPr>
          <w:rFonts w:hint="eastAsia" w:ascii="楷体_GB2312" w:eastAsia="楷体_GB2312"/>
        </w:rPr>
      </w:pPr>
      <w:bookmarkStart w:id="18" w:name="_Toc240753860"/>
      <w:r>
        <w:rPr>
          <w:rFonts w:hint="eastAsia"/>
        </w:rPr>
        <w:t>四</w:t>
      </w:r>
      <w:r>
        <w:t>、</w:t>
      </w:r>
      <w:r>
        <w:rPr>
          <w:rFonts w:hint="eastAsia" w:ascii="楷体_GB2312" w:eastAsia="楷体_GB2312"/>
        </w:rPr>
        <w:t>“十五五”总体思路与目标</w:t>
      </w:r>
      <w:bookmarkEnd w:id="18"/>
    </w:p>
    <w:p>
      <w:pPr>
        <w:pStyle w:val="3"/>
        <w:ind w:firstLine="643"/>
      </w:pPr>
      <w:bookmarkStart w:id="19" w:name="_Toc240753861"/>
      <w:r>
        <w:rPr>
          <w:rFonts w:hint="eastAsia"/>
        </w:rPr>
        <w:t>（一）</w:t>
      </w:r>
      <w:r>
        <w:t>指导思想</w:t>
      </w:r>
      <w:bookmarkEnd w:id="19"/>
    </w:p>
    <w:p>
      <w:pPr>
        <w:ind w:firstLine="600"/>
        <w:rPr>
          <w:rFonts w:ascii="仿宋_GB2312"/>
        </w:rPr>
      </w:pPr>
      <w:r>
        <w:rPr>
          <w:rFonts w:hint="eastAsia" w:ascii="仿宋_GB2312"/>
        </w:rPr>
        <w:t>以习近平新时代中国特色社会主义思想为指导，坚定不移地践行新发展理念。以保障产品有效供给和质量安全为核心、提高综合生产能力和市场竞争力为目标，加快转变畜牧业发展方式；加大科技创新，推动畜牧业生产方式的转型升级；拓展产业发展空间，促进一二三产业融合发展，提升产业附加值和市场竞争力。实现经济效益、社会效益和生态效益的协同提升，为全县农业农村现代化和乡村振兴提供有力支撑。</w:t>
      </w:r>
    </w:p>
    <w:p>
      <w:pPr>
        <w:pStyle w:val="3"/>
        <w:ind w:firstLine="643"/>
      </w:pPr>
      <w:bookmarkStart w:id="20" w:name="_Toc240753862"/>
      <w:r>
        <w:rPr>
          <w:rFonts w:hint="eastAsia"/>
        </w:rPr>
        <w:t>（二）</w:t>
      </w:r>
      <w:r>
        <w:t>基本原则</w:t>
      </w:r>
      <w:bookmarkEnd w:id="20"/>
    </w:p>
    <w:p>
      <w:pPr>
        <w:ind w:firstLine="602"/>
        <w:rPr>
          <w:rFonts w:ascii="仿宋_GB2312"/>
        </w:rPr>
      </w:pPr>
      <w:r>
        <w:rPr>
          <w:rStyle w:val="31"/>
          <w:rFonts w:ascii="仿宋_GB2312"/>
          <w:color w:val="auto"/>
          <w:szCs w:val="30"/>
        </w:rPr>
        <w:t>1.</w:t>
      </w:r>
      <w:r>
        <w:rPr>
          <w:rStyle w:val="31"/>
          <w:rFonts w:hint="eastAsia" w:ascii="仿宋_GB2312"/>
          <w:color w:val="auto"/>
          <w:szCs w:val="30"/>
        </w:rPr>
        <w:t>市场主导，政府引导</w:t>
      </w:r>
      <w:r>
        <w:rPr>
          <w:rStyle w:val="31"/>
          <w:rFonts w:hint="eastAsia" w:ascii="仿宋_GB2312"/>
          <w:color w:val="auto"/>
        </w:rPr>
        <w:t>。</w:t>
      </w:r>
      <w:r>
        <w:rPr>
          <w:rFonts w:hint="eastAsia" w:ascii="仿宋_GB2312"/>
        </w:rPr>
        <w:t>加强政策扶持、规划引导和市场监管，充分发挥市场在资源配置中的决定性作用，合理调整养殖结构和规模，提高市场化、专业化水平。</w:t>
      </w:r>
    </w:p>
    <w:p>
      <w:pPr>
        <w:ind w:firstLine="602"/>
        <w:rPr>
          <w:rFonts w:ascii="仿宋_GB2312"/>
        </w:rPr>
      </w:pPr>
      <w:r>
        <w:rPr>
          <w:rStyle w:val="31"/>
          <w:rFonts w:ascii="仿宋_GB2312"/>
          <w:color w:val="auto"/>
          <w:szCs w:val="30"/>
        </w:rPr>
        <w:t>2.</w:t>
      </w:r>
      <w:r>
        <w:rPr>
          <w:rStyle w:val="31"/>
          <w:rFonts w:hint="eastAsia" w:ascii="仿宋_GB2312"/>
          <w:color w:val="auto"/>
          <w:szCs w:val="30"/>
        </w:rPr>
        <w:t>生态优先，循环发展</w:t>
      </w:r>
      <w:r>
        <w:rPr>
          <w:rStyle w:val="31"/>
          <w:rFonts w:hint="eastAsia" w:ascii="仿宋_GB2312"/>
          <w:color w:val="auto"/>
        </w:rPr>
        <w:t>。</w:t>
      </w:r>
      <w:r>
        <w:rPr>
          <w:rFonts w:hint="eastAsia" w:ascii="仿宋_GB2312"/>
        </w:rPr>
        <w:t>注重生态环境保护，统筹养殖与环境承载力。大力推广种养结合模式，就近消纳，实现畜禽粪污资源化利用，减少养殖环境污染，促进畜牧业可持续发展。</w:t>
      </w:r>
    </w:p>
    <w:p>
      <w:pPr>
        <w:ind w:firstLine="602"/>
        <w:rPr>
          <w:rFonts w:ascii="仿宋_GB2312"/>
        </w:rPr>
      </w:pPr>
      <w:r>
        <w:rPr>
          <w:rStyle w:val="31"/>
          <w:rFonts w:ascii="仿宋_GB2312"/>
          <w:color w:val="auto"/>
          <w:szCs w:val="30"/>
        </w:rPr>
        <w:t>3.</w:t>
      </w:r>
      <w:r>
        <w:rPr>
          <w:rStyle w:val="31"/>
          <w:rFonts w:hint="eastAsia" w:ascii="仿宋_GB2312"/>
          <w:color w:val="auto"/>
          <w:szCs w:val="30"/>
        </w:rPr>
        <w:t>防疫为要、供给安全</w:t>
      </w:r>
      <w:r>
        <w:rPr>
          <w:rStyle w:val="31"/>
          <w:rFonts w:hint="eastAsia" w:ascii="仿宋_GB2312"/>
          <w:color w:val="auto"/>
        </w:rPr>
        <w:t>。</w:t>
      </w:r>
      <w:r>
        <w:rPr>
          <w:rFonts w:hint="eastAsia" w:ascii="仿宋_GB2312"/>
        </w:rPr>
        <w:t>建立健全动物疫病监测、预警和防控体系，全面提升生物安全防护水平。统筹产能调控与质量监管，保障畜禽产品的稳定供应和质量安全。</w:t>
      </w:r>
    </w:p>
    <w:p>
      <w:pPr>
        <w:ind w:firstLine="602"/>
        <w:rPr>
          <w:rFonts w:ascii="仿宋_GB2312"/>
        </w:rPr>
      </w:pPr>
      <w:r>
        <w:rPr>
          <w:rStyle w:val="31"/>
          <w:rFonts w:ascii="仿宋_GB2312"/>
          <w:color w:val="auto"/>
          <w:szCs w:val="30"/>
        </w:rPr>
        <w:t>4.</w:t>
      </w:r>
      <w:r>
        <w:rPr>
          <w:rStyle w:val="31"/>
          <w:rFonts w:hint="eastAsia" w:ascii="仿宋_GB2312"/>
          <w:color w:val="auto"/>
          <w:szCs w:val="30"/>
        </w:rPr>
        <w:t>科技驱动，提质增效</w:t>
      </w:r>
      <w:r>
        <w:rPr>
          <w:rFonts w:hint="eastAsia" w:ascii="仿宋_GB2312"/>
        </w:rPr>
        <w:t>。加大畜牧业科技创新，推动良种化、机械化、数字化技术在畜牧业中的广泛应用，提高畜牧业的科技含量和生产效率。</w:t>
      </w:r>
    </w:p>
    <w:p>
      <w:pPr>
        <w:ind w:firstLine="602"/>
        <w:rPr>
          <w:rFonts w:ascii="仿宋_GB2312"/>
        </w:rPr>
      </w:pPr>
      <w:r>
        <w:rPr>
          <w:rStyle w:val="31"/>
          <w:rFonts w:ascii="仿宋_GB2312"/>
          <w:color w:val="auto"/>
          <w:szCs w:val="30"/>
        </w:rPr>
        <w:t>5.</w:t>
      </w:r>
      <w:r>
        <w:rPr>
          <w:rStyle w:val="31"/>
          <w:rFonts w:hint="eastAsia" w:ascii="仿宋_GB2312"/>
          <w:color w:val="auto"/>
          <w:szCs w:val="30"/>
        </w:rPr>
        <w:t>全链融合，产业升级。</w:t>
      </w:r>
      <w:r>
        <w:rPr>
          <w:rFonts w:hint="eastAsia" w:ascii="仿宋_GB2312"/>
        </w:rPr>
        <w:t>以延长产业链条、提升产业附加值为目标，培育新型经营主体，促进畜牧业与加工、流通、旅游等产业深度融合。拓展畜牧业的多功能性，增加农民收入。</w:t>
      </w:r>
    </w:p>
    <w:p>
      <w:pPr>
        <w:pStyle w:val="3"/>
        <w:ind w:firstLine="643"/>
      </w:pPr>
      <w:bookmarkStart w:id="21" w:name="_Toc240753863"/>
      <w:bookmarkStart w:id="22" w:name="OLE_LINK71"/>
      <w:r>
        <w:rPr>
          <w:rFonts w:hint="eastAsia"/>
        </w:rPr>
        <w:t>（三）</w:t>
      </w:r>
      <w:r>
        <w:t>发展目标</w:t>
      </w:r>
      <w:bookmarkEnd w:id="21"/>
    </w:p>
    <w:p>
      <w:pPr>
        <w:ind w:firstLine="602"/>
        <w:rPr>
          <w:rFonts w:ascii="仿宋_GB2312"/>
          <w:b/>
          <w:bCs/>
        </w:rPr>
      </w:pPr>
      <w:r>
        <w:rPr>
          <w:rFonts w:ascii="仿宋_GB2312"/>
          <w:b/>
          <w:bCs/>
        </w:rPr>
        <w:t>1.</w:t>
      </w:r>
      <w:r>
        <w:rPr>
          <w:rFonts w:hint="eastAsia" w:ascii="仿宋_GB2312"/>
          <w:b/>
          <w:bCs/>
        </w:rPr>
        <w:t>畜禽生产结构优化。</w:t>
      </w:r>
      <w:r>
        <w:rPr>
          <w:rFonts w:hint="eastAsia" w:ascii="仿宋_GB2312"/>
        </w:rPr>
        <w:t>生产上适度调控，生猪出栏15</w:t>
      </w:r>
      <w:r>
        <w:rPr>
          <w:rFonts w:ascii="Cambria Math" w:hAnsi="Cambria Math" w:cs="Cambria Math"/>
        </w:rPr>
        <w:t>‑</w:t>
      </w:r>
      <w:r>
        <w:rPr>
          <w:rFonts w:hint="eastAsia" w:ascii="仿宋_GB2312"/>
        </w:rPr>
        <w:t>30万头/年，培育2</w:t>
      </w:r>
      <w:r>
        <w:rPr>
          <w:rFonts w:ascii="Cambria Math" w:hAnsi="Cambria Math" w:cs="Cambria Math"/>
        </w:rPr>
        <w:t>‑</w:t>
      </w:r>
      <w:r>
        <w:rPr>
          <w:rFonts w:hint="eastAsia" w:ascii="仿宋_GB2312"/>
        </w:rPr>
        <w:t>5家万头以上猪场；家禽年存栏发展至900</w:t>
      </w:r>
      <w:r>
        <w:rPr>
          <w:rFonts w:ascii="Cambria Math" w:hAnsi="Cambria Math" w:cs="Cambria Math"/>
        </w:rPr>
        <w:t>‑</w:t>
      </w:r>
      <w:r>
        <w:rPr>
          <w:rFonts w:hint="eastAsia" w:ascii="仿宋_GB2312"/>
        </w:rPr>
        <w:t>1600万羽/年；壮大草食畜禽，牛存栏0.3</w:t>
      </w:r>
      <w:r>
        <w:rPr>
          <w:rFonts w:ascii="Cambria Math" w:hAnsi="Cambria Math" w:cs="Cambria Math"/>
        </w:rPr>
        <w:t>‑</w:t>
      </w:r>
      <w:r>
        <w:rPr>
          <w:rFonts w:hint="eastAsia" w:ascii="仿宋_GB2312"/>
        </w:rPr>
        <w:t>0.4万头/年、羊1.5</w:t>
      </w:r>
      <w:r>
        <w:rPr>
          <w:rFonts w:ascii="Cambria Math" w:hAnsi="Cambria Math" w:cs="Cambria Math"/>
        </w:rPr>
        <w:t>‑</w:t>
      </w:r>
      <w:r>
        <w:rPr>
          <w:rFonts w:hint="eastAsia" w:ascii="仿宋_GB2312"/>
        </w:rPr>
        <w:t>2万只/年、兔3</w:t>
      </w:r>
      <w:r>
        <w:rPr>
          <w:rFonts w:ascii="Cambria Math" w:hAnsi="Cambria Math" w:cs="Cambria Math"/>
        </w:rPr>
        <w:t>‑</w:t>
      </w:r>
      <w:r>
        <w:rPr>
          <w:rFonts w:hint="eastAsia" w:ascii="仿宋_GB2312"/>
        </w:rPr>
        <w:t>4万只/年。</w:t>
      </w:r>
    </w:p>
    <w:p>
      <w:pPr>
        <w:ind w:firstLine="602"/>
        <w:rPr>
          <w:rFonts w:ascii="仿宋_GB2312" w:hAnsi="Cambria Math" w:cs="Cambria Math"/>
        </w:rPr>
      </w:pPr>
      <w:r>
        <w:rPr>
          <w:rFonts w:ascii="仿宋_GB2312"/>
          <w:b/>
          <w:bCs/>
        </w:rPr>
        <w:t>2.</w:t>
      </w:r>
      <w:r>
        <w:rPr>
          <w:rFonts w:hint="eastAsia" w:ascii="仿宋_GB2312"/>
          <w:b/>
          <w:bCs/>
        </w:rPr>
        <w:t>生态养殖与安全水平提升。</w:t>
      </w:r>
      <w:r>
        <w:rPr>
          <w:rFonts w:hint="eastAsia" w:ascii="仿宋_GB2312"/>
        </w:rPr>
        <w:t>畜禽生态健康养殖比重≥90%，粪污综合利用率≥93%，禁养区清拆完成率100%，液体粪肥施用覆盖率100%。健全质量追溯体系，畜禽及饲料相关产品抽检合格率稳定在99%以上。</w:t>
      </w:r>
    </w:p>
    <w:p>
      <w:pPr>
        <w:spacing w:after="156" w:afterLines="50"/>
        <w:ind w:firstLine="602"/>
        <w:jc w:val="left"/>
        <w:rPr>
          <w:rFonts w:ascii="仿宋_GB2312"/>
        </w:rPr>
      </w:pPr>
      <w:r>
        <w:rPr>
          <w:rFonts w:ascii="仿宋_GB2312"/>
          <w:b/>
        </w:rPr>
        <w:t>3.</w:t>
      </w:r>
      <w:r>
        <w:rPr>
          <w:rFonts w:hint="eastAsia" w:ascii="仿宋_GB2312"/>
          <w:b/>
        </w:rPr>
        <w:t>机械化、智能化水平提高。</w:t>
      </w:r>
      <w:r>
        <w:rPr>
          <w:rFonts w:ascii="Cambria Math" w:hAnsi="Cambria Math" w:cs="Cambria Math"/>
        </w:rPr>
        <w:t>持续提升养殖机械化、智能化水平，规模场推进全程机械化，普及智能养殖装备与信息管理系统，</w:t>
      </w:r>
      <w:r>
        <w:rPr>
          <w:rFonts w:hint="eastAsia" w:ascii="仿宋_GB2312"/>
        </w:rPr>
        <w:t>基本形成畜牧业高质量发展格局。</w:t>
      </w:r>
      <w:bookmarkEnd w:id="22"/>
    </w:p>
    <w:tbl>
      <w:tblPr>
        <w:tblStyle w:val="51"/>
        <w:tblW w:w="5000" w:type="pct"/>
        <w:jc w:val="center"/>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Layout w:type="autofit"/>
        <w:tblCellMar>
          <w:top w:w="0" w:type="dxa"/>
          <w:left w:w="108" w:type="dxa"/>
          <w:bottom w:w="0" w:type="dxa"/>
          <w:right w:w="108" w:type="dxa"/>
        </w:tblCellMar>
      </w:tblPr>
      <w:tblGrid>
        <w:gridCol w:w="1689"/>
        <w:gridCol w:w="3705"/>
        <w:gridCol w:w="1738"/>
        <w:gridCol w:w="1390"/>
      </w:tblGrid>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567" w:hRule="atLeast"/>
          <w:jc w:val="center"/>
        </w:trPr>
        <w:tc>
          <w:tcPr>
            <w:tcW w:w="5000" w:type="pct"/>
            <w:gridSpan w:val="4"/>
            <w:tcBorders>
              <w:left w:val="single" w:color="7E7E7E" w:themeColor="text1" w:themeTint="80" w:sz="4" w:space="0"/>
              <w:bottom w:val="nil"/>
              <w:right w:val="single" w:color="7E7E7E" w:themeColor="text1" w:themeTint="80" w:sz="4" w:space="0"/>
            </w:tcBorders>
          </w:tcPr>
          <w:p>
            <w:pPr>
              <w:pStyle w:val="49"/>
              <w:adjustRightInd w:val="0"/>
              <w:snapToGrid w:val="0"/>
              <w:spacing w:before="156" w:beforeLines="50" w:after="156" w:afterLines="50"/>
              <w:jc w:val="center"/>
              <w:rPr>
                <w:rFonts w:hint="eastAsia" w:ascii="仿宋_GB2312" w:hAnsiTheme="majorEastAsia"/>
                <w:b/>
                <w:bCs/>
              </w:rPr>
            </w:pPr>
            <w:r>
              <w:rPr>
                <w:rFonts w:hint="eastAsia" w:ascii="仿宋_GB2312" w:hAnsiTheme="majorEastAsia"/>
                <w:b/>
                <w:bCs/>
              </w:rPr>
              <w:t>专栏一 “十五五”闽清县畜牧业发展核心指标</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567" w:hRule="atLeast"/>
          <w:jc w:val="center"/>
        </w:trPr>
        <w:tc>
          <w:tcPr>
            <w:tcW w:w="991" w:type="pct"/>
            <w:tcBorders>
              <w:left w:val="single" w:color="7E7E7E" w:themeColor="text1" w:themeTint="80" w:sz="4" w:space="0"/>
              <w:bottom w:val="nil"/>
            </w:tcBorders>
          </w:tcPr>
          <w:p>
            <w:pPr>
              <w:pStyle w:val="49"/>
              <w:adjustRightInd w:val="0"/>
              <w:snapToGrid w:val="0"/>
              <w:rPr>
                <w:rFonts w:hint="eastAsia" w:ascii="仿宋_GB2312"/>
                <w:b/>
                <w:bCs/>
                <w:sz w:val="28"/>
                <w:szCs w:val="28"/>
              </w:rPr>
            </w:pPr>
            <w:r>
              <w:rPr>
                <w:rFonts w:hint="eastAsia" w:ascii="仿宋_GB2312"/>
                <w:b/>
                <w:bCs/>
                <w:sz w:val="28"/>
                <w:szCs w:val="28"/>
              </w:rPr>
              <w:t>领域</w:t>
            </w:r>
          </w:p>
        </w:tc>
        <w:tc>
          <w:tcPr>
            <w:tcW w:w="2174" w:type="pct"/>
            <w:tcBorders>
              <w:bottom w:val="nil"/>
            </w:tcBorders>
          </w:tcPr>
          <w:p>
            <w:pPr>
              <w:pStyle w:val="49"/>
              <w:adjustRightInd w:val="0"/>
              <w:snapToGrid w:val="0"/>
              <w:rPr>
                <w:rFonts w:hint="eastAsia" w:ascii="仿宋_GB2312"/>
                <w:sz w:val="28"/>
                <w:szCs w:val="28"/>
              </w:rPr>
            </w:pPr>
            <w:r>
              <w:rPr>
                <w:rFonts w:hint="eastAsia" w:ascii="仿宋_GB2312"/>
                <w:sz w:val="28"/>
                <w:szCs w:val="28"/>
              </w:rPr>
              <w:t>指标名称</w:t>
            </w:r>
          </w:p>
        </w:tc>
        <w:tc>
          <w:tcPr>
            <w:tcW w:w="1020" w:type="pct"/>
            <w:tcBorders>
              <w:bottom w:val="nil"/>
            </w:tcBorders>
          </w:tcPr>
          <w:p>
            <w:pPr>
              <w:pStyle w:val="49"/>
              <w:adjustRightInd w:val="0"/>
              <w:snapToGrid w:val="0"/>
              <w:jc w:val="center"/>
              <w:rPr>
                <w:rFonts w:hint="eastAsia" w:ascii="仿宋_GB2312"/>
                <w:sz w:val="28"/>
                <w:szCs w:val="28"/>
              </w:rPr>
            </w:pPr>
            <w:r>
              <w:rPr>
                <w:rFonts w:hint="eastAsia" w:ascii="仿宋_GB2312"/>
                <w:sz w:val="28"/>
                <w:szCs w:val="28"/>
              </w:rPr>
              <w:t>2030年</w:t>
            </w:r>
          </w:p>
        </w:tc>
        <w:tc>
          <w:tcPr>
            <w:tcW w:w="815" w:type="pct"/>
            <w:tcBorders>
              <w:bottom w:val="nil"/>
              <w:right w:val="single" w:color="7E7E7E" w:themeColor="text1" w:themeTint="80" w:sz="4" w:space="0"/>
            </w:tcBorders>
          </w:tcPr>
          <w:p>
            <w:pPr>
              <w:pStyle w:val="49"/>
              <w:adjustRightInd w:val="0"/>
              <w:snapToGrid w:val="0"/>
              <w:rPr>
                <w:rFonts w:hint="eastAsia" w:ascii="仿宋_GB2312"/>
                <w:sz w:val="28"/>
                <w:szCs w:val="28"/>
              </w:rPr>
            </w:pPr>
            <w:r>
              <w:rPr>
                <w:rFonts w:hint="eastAsia" w:ascii="仿宋_GB2312"/>
                <w:sz w:val="28"/>
                <w:szCs w:val="28"/>
              </w:rPr>
              <w:t>指标属性</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567" w:hRule="atLeast"/>
          <w:jc w:val="center"/>
        </w:trPr>
        <w:tc>
          <w:tcPr>
            <w:tcW w:w="991" w:type="pct"/>
            <w:vMerge w:val="restart"/>
            <w:tcBorders>
              <w:top w:val="single" w:color="7E7E7E" w:themeColor="text1" w:themeTint="80" w:sz="4" w:space="0"/>
              <w:left w:val="single" w:color="7E7E7E" w:themeColor="text1" w:themeTint="80" w:sz="4" w:space="0"/>
              <w:bottom w:val="single" w:color="7E7E7E" w:themeColor="text1" w:themeTint="80" w:sz="4" w:space="0"/>
            </w:tcBorders>
          </w:tcPr>
          <w:p>
            <w:pPr>
              <w:pStyle w:val="49"/>
              <w:adjustRightInd w:val="0"/>
              <w:snapToGrid w:val="0"/>
              <w:jc w:val="center"/>
              <w:rPr>
                <w:rFonts w:hint="eastAsia" w:ascii="仿宋_GB2312"/>
                <w:b/>
                <w:bCs/>
                <w:sz w:val="28"/>
                <w:szCs w:val="28"/>
              </w:rPr>
            </w:pPr>
            <w:r>
              <w:rPr>
                <w:rFonts w:hint="eastAsia" w:ascii="仿宋_GB2312"/>
                <w:b/>
                <w:bCs/>
                <w:sz w:val="28"/>
                <w:szCs w:val="28"/>
              </w:rPr>
              <w:t>生产规模</w:t>
            </w:r>
          </w:p>
        </w:tc>
        <w:tc>
          <w:tcPr>
            <w:tcW w:w="2174" w:type="pct"/>
            <w:tcBorders>
              <w:top w:val="single" w:color="7E7E7E" w:themeColor="text1" w:themeTint="80" w:sz="4" w:space="0"/>
              <w:bottom w:val="single" w:color="7E7E7E" w:themeColor="text1" w:themeTint="80" w:sz="4" w:space="0"/>
            </w:tcBorders>
          </w:tcPr>
          <w:p>
            <w:pPr>
              <w:pStyle w:val="49"/>
              <w:adjustRightInd w:val="0"/>
              <w:snapToGrid w:val="0"/>
              <w:rPr>
                <w:rFonts w:hint="eastAsia" w:ascii="仿宋_GB2312"/>
                <w:sz w:val="28"/>
                <w:szCs w:val="28"/>
              </w:rPr>
            </w:pPr>
            <w:r>
              <w:rPr>
                <w:rFonts w:hint="eastAsia" w:ascii="仿宋_GB2312"/>
                <w:sz w:val="28"/>
                <w:szCs w:val="28"/>
              </w:rPr>
              <w:t>生猪存栏（头）</w:t>
            </w:r>
          </w:p>
        </w:tc>
        <w:tc>
          <w:tcPr>
            <w:tcW w:w="1020" w:type="pct"/>
            <w:tcBorders>
              <w:top w:val="single" w:color="7E7E7E" w:themeColor="text1" w:themeTint="80" w:sz="4" w:space="0"/>
              <w:bottom w:val="single" w:color="7E7E7E" w:themeColor="text1" w:themeTint="80" w:sz="4" w:space="0"/>
            </w:tcBorders>
          </w:tcPr>
          <w:p>
            <w:pPr>
              <w:pStyle w:val="49"/>
              <w:adjustRightInd w:val="0"/>
              <w:snapToGrid w:val="0"/>
              <w:jc w:val="center"/>
              <w:rPr>
                <w:rFonts w:hint="eastAsia" w:ascii="仿宋_GB2312"/>
                <w:sz w:val="28"/>
                <w:szCs w:val="28"/>
              </w:rPr>
            </w:pPr>
            <w:r>
              <w:rPr>
                <w:rFonts w:hint="eastAsia" w:ascii="仿宋_GB2312"/>
                <w:sz w:val="28"/>
                <w:szCs w:val="28"/>
              </w:rPr>
              <w:t>80000～150000</w:t>
            </w:r>
          </w:p>
        </w:tc>
        <w:tc>
          <w:tcPr>
            <w:tcW w:w="815" w:type="pct"/>
            <w:tcBorders>
              <w:top w:val="single" w:color="7E7E7E" w:themeColor="text1" w:themeTint="80" w:sz="4" w:space="0"/>
              <w:bottom w:val="single" w:color="7E7E7E" w:themeColor="text1" w:themeTint="80" w:sz="4" w:space="0"/>
              <w:right w:val="single" w:color="7E7E7E" w:themeColor="text1" w:themeTint="80" w:sz="4" w:space="0"/>
            </w:tcBorders>
          </w:tcPr>
          <w:p>
            <w:pPr>
              <w:pStyle w:val="49"/>
              <w:adjustRightInd w:val="0"/>
              <w:snapToGrid w:val="0"/>
              <w:rPr>
                <w:rFonts w:hint="eastAsia" w:ascii="仿宋_GB2312"/>
                <w:sz w:val="28"/>
                <w:szCs w:val="28"/>
              </w:rPr>
            </w:pPr>
            <w:r>
              <w:rPr>
                <w:rFonts w:hint="eastAsia" w:ascii="仿宋_GB2312"/>
                <w:sz w:val="28"/>
                <w:szCs w:val="28"/>
              </w:rPr>
              <w:t>根据需要调整</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567" w:hRule="atLeast"/>
          <w:jc w:val="center"/>
        </w:trPr>
        <w:tc>
          <w:tcPr>
            <w:tcW w:w="991" w:type="pct"/>
            <w:vMerge w:val="continue"/>
            <w:tcBorders>
              <w:left w:val="single" w:color="7E7E7E" w:themeColor="text1" w:themeTint="80" w:sz="4" w:space="0"/>
            </w:tcBorders>
          </w:tcPr>
          <w:p>
            <w:pPr>
              <w:pStyle w:val="49"/>
              <w:adjustRightInd w:val="0"/>
              <w:snapToGrid w:val="0"/>
              <w:jc w:val="center"/>
              <w:rPr>
                <w:rFonts w:hint="eastAsia" w:ascii="仿宋_GB2312"/>
                <w:b/>
                <w:bCs/>
                <w:sz w:val="28"/>
                <w:szCs w:val="28"/>
              </w:rPr>
            </w:pPr>
          </w:p>
        </w:tc>
        <w:tc>
          <w:tcPr>
            <w:tcW w:w="2174" w:type="pct"/>
          </w:tcPr>
          <w:p>
            <w:pPr>
              <w:pStyle w:val="49"/>
              <w:adjustRightInd w:val="0"/>
              <w:snapToGrid w:val="0"/>
              <w:rPr>
                <w:rFonts w:hint="eastAsia" w:ascii="仿宋_GB2312"/>
                <w:sz w:val="28"/>
                <w:szCs w:val="28"/>
              </w:rPr>
            </w:pPr>
            <w:r>
              <w:rPr>
                <w:rFonts w:hint="eastAsia" w:ascii="仿宋_GB2312"/>
                <w:sz w:val="28"/>
                <w:szCs w:val="28"/>
              </w:rPr>
              <w:t>牛存栏（头）</w:t>
            </w:r>
          </w:p>
        </w:tc>
        <w:tc>
          <w:tcPr>
            <w:tcW w:w="1020" w:type="pct"/>
          </w:tcPr>
          <w:p>
            <w:pPr>
              <w:pStyle w:val="49"/>
              <w:adjustRightInd w:val="0"/>
              <w:snapToGrid w:val="0"/>
              <w:jc w:val="center"/>
              <w:rPr>
                <w:rFonts w:hint="eastAsia" w:ascii="仿宋_GB2312"/>
                <w:sz w:val="28"/>
                <w:szCs w:val="28"/>
              </w:rPr>
            </w:pPr>
            <w:r>
              <w:rPr>
                <w:rFonts w:hint="eastAsia" w:ascii="仿宋_GB2312"/>
                <w:sz w:val="28"/>
                <w:szCs w:val="28"/>
              </w:rPr>
              <w:t>4000</w:t>
            </w:r>
          </w:p>
        </w:tc>
        <w:tc>
          <w:tcPr>
            <w:tcW w:w="815" w:type="pct"/>
            <w:tcBorders>
              <w:right w:val="single" w:color="7E7E7E" w:themeColor="text1" w:themeTint="80" w:sz="4" w:space="0"/>
            </w:tcBorders>
          </w:tcPr>
          <w:p>
            <w:pPr>
              <w:pStyle w:val="49"/>
              <w:adjustRightInd w:val="0"/>
              <w:snapToGrid w:val="0"/>
              <w:rPr>
                <w:rFonts w:hint="eastAsia" w:ascii="仿宋_GB2312"/>
                <w:sz w:val="28"/>
                <w:szCs w:val="28"/>
              </w:rPr>
            </w:pPr>
            <w:r>
              <w:rPr>
                <w:rFonts w:hint="eastAsia" w:ascii="仿宋_GB2312"/>
                <w:sz w:val="28"/>
                <w:szCs w:val="28"/>
              </w:rPr>
              <w:t>预期性</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567" w:hRule="atLeast"/>
          <w:jc w:val="center"/>
        </w:trPr>
        <w:tc>
          <w:tcPr>
            <w:tcW w:w="991" w:type="pct"/>
            <w:vMerge w:val="continue"/>
            <w:tcBorders>
              <w:top w:val="single" w:color="7E7E7E" w:themeColor="text1" w:themeTint="80" w:sz="4" w:space="0"/>
              <w:left w:val="single" w:color="7E7E7E" w:themeColor="text1" w:themeTint="80" w:sz="4" w:space="0"/>
              <w:bottom w:val="single" w:color="7E7E7E" w:themeColor="text1" w:themeTint="80" w:sz="4" w:space="0"/>
            </w:tcBorders>
          </w:tcPr>
          <w:p>
            <w:pPr>
              <w:pStyle w:val="49"/>
              <w:adjustRightInd w:val="0"/>
              <w:snapToGrid w:val="0"/>
              <w:jc w:val="center"/>
              <w:rPr>
                <w:rFonts w:hint="eastAsia" w:ascii="仿宋_GB2312"/>
                <w:b/>
                <w:bCs/>
                <w:sz w:val="28"/>
                <w:szCs w:val="28"/>
              </w:rPr>
            </w:pPr>
          </w:p>
        </w:tc>
        <w:tc>
          <w:tcPr>
            <w:tcW w:w="2174" w:type="pct"/>
            <w:tcBorders>
              <w:top w:val="single" w:color="7E7E7E" w:themeColor="text1" w:themeTint="80" w:sz="4" w:space="0"/>
              <w:bottom w:val="single" w:color="7E7E7E" w:themeColor="text1" w:themeTint="80" w:sz="4" w:space="0"/>
            </w:tcBorders>
          </w:tcPr>
          <w:p>
            <w:pPr>
              <w:pStyle w:val="49"/>
              <w:adjustRightInd w:val="0"/>
              <w:snapToGrid w:val="0"/>
              <w:rPr>
                <w:rFonts w:hint="eastAsia" w:ascii="仿宋_GB2312"/>
                <w:sz w:val="28"/>
                <w:szCs w:val="28"/>
              </w:rPr>
            </w:pPr>
            <w:r>
              <w:rPr>
                <w:rFonts w:hint="eastAsia" w:ascii="仿宋_GB2312"/>
                <w:sz w:val="28"/>
                <w:szCs w:val="28"/>
              </w:rPr>
              <w:t>羊存栏（只）</w:t>
            </w:r>
          </w:p>
        </w:tc>
        <w:tc>
          <w:tcPr>
            <w:tcW w:w="1020" w:type="pct"/>
            <w:tcBorders>
              <w:top w:val="single" w:color="7E7E7E" w:themeColor="text1" w:themeTint="80" w:sz="4" w:space="0"/>
              <w:bottom w:val="single" w:color="7E7E7E" w:themeColor="text1" w:themeTint="80" w:sz="4" w:space="0"/>
            </w:tcBorders>
          </w:tcPr>
          <w:p>
            <w:pPr>
              <w:pStyle w:val="49"/>
              <w:adjustRightInd w:val="0"/>
              <w:snapToGrid w:val="0"/>
              <w:jc w:val="center"/>
              <w:rPr>
                <w:rFonts w:hint="eastAsia" w:ascii="仿宋_GB2312"/>
                <w:sz w:val="28"/>
                <w:szCs w:val="28"/>
              </w:rPr>
            </w:pPr>
            <w:r>
              <w:rPr>
                <w:rFonts w:hint="eastAsia" w:ascii="仿宋_GB2312"/>
                <w:sz w:val="28"/>
                <w:szCs w:val="28"/>
              </w:rPr>
              <w:t>20000</w:t>
            </w:r>
          </w:p>
        </w:tc>
        <w:tc>
          <w:tcPr>
            <w:tcW w:w="815" w:type="pct"/>
            <w:tcBorders>
              <w:top w:val="single" w:color="7E7E7E" w:themeColor="text1" w:themeTint="80" w:sz="4" w:space="0"/>
              <w:bottom w:val="single" w:color="7E7E7E" w:themeColor="text1" w:themeTint="80" w:sz="4" w:space="0"/>
              <w:right w:val="single" w:color="7E7E7E" w:themeColor="text1" w:themeTint="80" w:sz="4" w:space="0"/>
            </w:tcBorders>
          </w:tcPr>
          <w:p>
            <w:pPr>
              <w:pStyle w:val="49"/>
              <w:adjustRightInd w:val="0"/>
              <w:snapToGrid w:val="0"/>
              <w:rPr>
                <w:rFonts w:hint="eastAsia" w:ascii="仿宋_GB2312"/>
                <w:sz w:val="28"/>
                <w:szCs w:val="28"/>
              </w:rPr>
            </w:pPr>
            <w:r>
              <w:rPr>
                <w:rFonts w:hint="eastAsia" w:ascii="仿宋_GB2312"/>
                <w:sz w:val="28"/>
                <w:szCs w:val="28"/>
              </w:rPr>
              <w:t>预期性</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567" w:hRule="atLeast"/>
          <w:jc w:val="center"/>
        </w:trPr>
        <w:tc>
          <w:tcPr>
            <w:tcW w:w="991" w:type="pct"/>
            <w:vMerge w:val="continue"/>
            <w:tcBorders>
              <w:left w:val="single" w:color="7E7E7E" w:themeColor="text1" w:themeTint="80" w:sz="4" w:space="0"/>
            </w:tcBorders>
          </w:tcPr>
          <w:p>
            <w:pPr>
              <w:pStyle w:val="49"/>
              <w:adjustRightInd w:val="0"/>
              <w:snapToGrid w:val="0"/>
              <w:jc w:val="center"/>
              <w:rPr>
                <w:rFonts w:hint="eastAsia" w:ascii="仿宋_GB2312"/>
                <w:b/>
                <w:bCs/>
                <w:sz w:val="28"/>
                <w:szCs w:val="28"/>
              </w:rPr>
            </w:pPr>
          </w:p>
        </w:tc>
        <w:tc>
          <w:tcPr>
            <w:tcW w:w="2174" w:type="pct"/>
          </w:tcPr>
          <w:p>
            <w:pPr>
              <w:pStyle w:val="49"/>
              <w:adjustRightInd w:val="0"/>
              <w:snapToGrid w:val="0"/>
              <w:rPr>
                <w:rFonts w:hint="eastAsia" w:ascii="仿宋_GB2312"/>
                <w:sz w:val="28"/>
                <w:szCs w:val="28"/>
              </w:rPr>
            </w:pPr>
            <w:r>
              <w:rPr>
                <w:rFonts w:hint="eastAsia" w:ascii="仿宋_GB2312"/>
                <w:sz w:val="28"/>
                <w:szCs w:val="28"/>
              </w:rPr>
              <w:t>家禽存栏（羽）</w:t>
            </w:r>
          </w:p>
        </w:tc>
        <w:tc>
          <w:tcPr>
            <w:tcW w:w="1020" w:type="pct"/>
          </w:tcPr>
          <w:p>
            <w:pPr>
              <w:pStyle w:val="49"/>
              <w:adjustRightInd w:val="0"/>
              <w:snapToGrid w:val="0"/>
              <w:jc w:val="center"/>
              <w:rPr>
                <w:rFonts w:hint="eastAsia" w:ascii="仿宋_GB2312"/>
                <w:sz w:val="28"/>
                <w:szCs w:val="28"/>
              </w:rPr>
            </w:pPr>
            <w:r>
              <w:rPr>
                <w:rFonts w:hint="eastAsia" w:ascii="仿宋_GB2312"/>
                <w:sz w:val="28"/>
                <w:szCs w:val="28"/>
              </w:rPr>
              <w:t>9000000～16000000</w:t>
            </w:r>
          </w:p>
        </w:tc>
        <w:tc>
          <w:tcPr>
            <w:tcW w:w="815" w:type="pct"/>
            <w:tcBorders>
              <w:right w:val="single" w:color="7E7E7E" w:themeColor="text1" w:themeTint="80" w:sz="4" w:space="0"/>
            </w:tcBorders>
          </w:tcPr>
          <w:p>
            <w:pPr>
              <w:pStyle w:val="49"/>
              <w:adjustRightInd w:val="0"/>
              <w:snapToGrid w:val="0"/>
              <w:rPr>
                <w:rFonts w:hint="eastAsia" w:ascii="仿宋_GB2312"/>
                <w:sz w:val="28"/>
                <w:szCs w:val="28"/>
              </w:rPr>
            </w:pPr>
            <w:r>
              <w:rPr>
                <w:rFonts w:hint="eastAsia" w:ascii="仿宋_GB2312"/>
                <w:sz w:val="28"/>
                <w:szCs w:val="28"/>
              </w:rPr>
              <w:t>预期性</w:t>
            </w:r>
          </w:p>
          <w:p>
            <w:pPr>
              <w:pStyle w:val="49"/>
              <w:adjustRightInd w:val="0"/>
              <w:snapToGrid w:val="0"/>
              <w:rPr>
                <w:rFonts w:hint="eastAsia" w:ascii="仿宋_GB2312"/>
                <w:sz w:val="28"/>
                <w:szCs w:val="28"/>
              </w:rPr>
            </w:pPr>
            <w:r>
              <w:rPr>
                <w:rFonts w:hint="eastAsia" w:ascii="仿宋_GB2312"/>
                <w:sz w:val="28"/>
                <w:szCs w:val="28"/>
              </w:rPr>
              <w:t>可调整</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567" w:hRule="atLeast"/>
          <w:jc w:val="center"/>
        </w:trPr>
        <w:tc>
          <w:tcPr>
            <w:tcW w:w="991" w:type="pct"/>
            <w:vMerge w:val="continue"/>
            <w:tcBorders>
              <w:left w:val="single" w:color="7E7E7E" w:themeColor="text1" w:themeTint="80" w:sz="4" w:space="0"/>
            </w:tcBorders>
          </w:tcPr>
          <w:p>
            <w:pPr>
              <w:pStyle w:val="49"/>
              <w:adjustRightInd w:val="0"/>
              <w:snapToGrid w:val="0"/>
              <w:jc w:val="center"/>
              <w:rPr>
                <w:rFonts w:hint="eastAsia" w:ascii="仿宋_GB2312"/>
                <w:b/>
                <w:bCs/>
                <w:sz w:val="28"/>
                <w:szCs w:val="28"/>
              </w:rPr>
            </w:pPr>
          </w:p>
        </w:tc>
        <w:tc>
          <w:tcPr>
            <w:tcW w:w="2174" w:type="pct"/>
          </w:tcPr>
          <w:p>
            <w:pPr>
              <w:pStyle w:val="49"/>
              <w:adjustRightInd w:val="0"/>
              <w:snapToGrid w:val="0"/>
              <w:rPr>
                <w:rFonts w:hint="eastAsia" w:ascii="仿宋_GB2312"/>
                <w:sz w:val="28"/>
                <w:szCs w:val="28"/>
              </w:rPr>
            </w:pPr>
            <w:r>
              <w:rPr>
                <w:rFonts w:hint="eastAsia" w:ascii="仿宋_GB2312"/>
                <w:sz w:val="28"/>
                <w:szCs w:val="28"/>
              </w:rPr>
              <w:t>禽蛋总产量（吨）</w:t>
            </w:r>
          </w:p>
        </w:tc>
        <w:tc>
          <w:tcPr>
            <w:tcW w:w="1020" w:type="pct"/>
          </w:tcPr>
          <w:p>
            <w:pPr>
              <w:pStyle w:val="49"/>
              <w:adjustRightInd w:val="0"/>
              <w:snapToGrid w:val="0"/>
              <w:jc w:val="center"/>
              <w:rPr>
                <w:rFonts w:hint="eastAsia" w:ascii="仿宋_GB2312"/>
                <w:sz w:val="28"/>
                <w:szCs w:val="28"/>
              </w:rPr>
            </w:pPr>
            <w:r>
              <w:rPr>
                <w:rFonts w:hint="eastAsia" w:ascii="仿宋_GB2312"/>
                <w:sz w:val="28"/>
                <w:szCs w:val="28"/>
              </w:rPr>
              <w:t>100000</w:t>
            </w:r>
          </w:p>
        </w:tc>
        <w:tc>
          <w:tcPr>
            <w:tcW w:w="815" w:type="pct"/>
            <w:tcBorders>
              <w:right w:val="single" w:color="7E7E7E" w:themeColor="text1" w:themeTint="80" w:sz="4" w:space="0"/>
            </w:tcBorders>
          </w:tcPr>
          <w:p>
            <w:pPr>
              <w:pStyle w:val="49"/>
              <w:adjustRightInd w:val="0"/>
              <w:snapToGrid w:val="0"/>
              <w:rPr>
                <w:rFonts w:hint="eastAsia" w:ascii="仿宋_GB2312"/>
                <w:sz w:val="28"/>
                <w:szCs w:val="28"/>
              </w:rPr>
            </w:pPr>
            <w:r>
              <w:rPr>
                <w:rFonts w:hint="eastAsia" w:ascii="仿宋_GB2312"/>
                <w:sz w:val="28"/>
                <w:szCs w:val="28"/>
              </w:rPr>
              <w:t>预期性</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567" w:hRule="atLeast"/>
          <w:jc w:val="center"/>
        </w:trPr>
        <w:tc>
          <w:tcPr>
            <w:tcW w:w="991" w:type="pct"/>
            <w:tcBorders>
              <w:top w:val="nil"/>
              <w:left w:val="single" w:color="7E7E7E" w:themeColor="text1" w:themeTint="80" w:sz="4" w:space="0"/>
              <w:bottom w:val="nil"/>
            </w:tcBorders>
          </w:tcPr>
          <w:p>
            <w:pPr>
              <w:pStyle w:val="49"/>
              <w:adjustRightInd w:val="0"/>
              <w:snapToGrid w:val="0"/>
              <w:jc w:val="center"/>
              <w:rPr>
                <w:rFonts w:hint="eastAsia" w:ascii="仿宋_GB2312"/>
                <w:b/>
                <w:bCs/>
                <w:sz w:val="28"/>
                <w:szCs w:val="28"/>
              </w:rPr>
            </w:pPr>
            <w:r>
              <w:rPr>
                <w:rFonts w:hint="eastAsia" w:ascii="仿宋_GB2312"/>
                <w:b/>
                <w:bCs/>
                <w:sz w:val="28"/>
                <w:szCs w:val="28"/>
              </w:rPr>
              <w:t>生态约束</w:t>
            </w:r>
          </w:p>
        </w:tc>
        <w:tc>
          <w:tcPr>
            <w:tcW w:w="2174" w:type="pct"/>
            <w:tcBorders>
              <w:top w:val="nil"/>
              <w:bottom w:val="nil"/>
            </w:tcBorders>
          </w:tcPr>
          <w:p>
            <w:pPr>
              <w:pStyle w:val="49"/>
              <w:adjustRightInd w:val="0"/>
              <w:snapToGrid w:val="0"/>
              <w:rPr>
                <w:rFonts w:hint="eastAsia" w:ascii="仿宋_GB2312"/>
                <w:sz w:val="28"/>
                <w:szCs w:val="28"/>
              </w:rPr>
            </w:pPr>
            <w:r>
              <w:rPr>
                <w:rFonts w:hint="eastAsia" w:ascii="仿宋_GB2312"/>
                <w:sz w:val="28"/>
                <w:szCs w:val="28"/>
              </w:rPr>
              <w:t>粪污资源化利用率（%）</w:t>
            </w:r>
          </w:p>
        </w:tc>
        <w:tc>
          <w:tcPr>
            <w:tcW w:w="1020" w:type="pct"/>
            <w:tcBorders>
              <w:top w:val="nil"/>
              <w:bottom w:val="nil"/>
            </w:tcBorders>
          </w:tcPr>
          <w:p>
            <w:pPr>
              <w:pStyle w:val="49"/>
              <w:adjustRightInd w:val="0"/>
              <w:snapToGrid w:val="0"/>
              <w:jc w:val="center"/>
              <w:rPr>
                <w:rFonts w:hint="eastAsia" w:ascii="仿宋_GB2312"/>
                <w:sz w:val="28"/>
                <w:szCs w:val="28"/>
              </w:rPr>
            </w:pPr>
            <w:r>
              <w:rPr>
                <w:rFonts w:hint="eastAsia" w:ascii="仿宋_GB2312"/>
                <w:sz w:val="28"/>
                <w:szCs w:val="28"/>
              </w:rPr>
              <w:t>≥93</w:t>
            </w:r>
          </w:p>
        </w:tc>
        <w:tc>
          <w:tcPr>
            <w:tcW w:w="815" w:type="pct"/>
            <w:tcBorders>
              <w:top w:val="nil"/>
              <w:bottom w:val="nil"/>
              <w:right w:val="single" w:color="7E7E7E" w:themeColor="text1" w:themeTint="80" w:sz="4" w:space="0"/>
            </w:tcBorders>
          </w:tcPr>
          <w:p>
            <w:pPr>
              <w:pStyle w:val="49"/>
              <w:adjustRightInd w:val="0"/>
              <w:snapToGrid w:val="0"/>
              <w:rPr>
                <w:rFonts w:hint="eastAsia" w:ascii="仿宋_GB2312"/>
                <w:sz w:val="28"/>
                <w:szCs w:val="28"/>
              </w:rPr>
            </w:pPr>
            <w:r>
              <w:rPr>
                <w:rFonts w:hint="eastAsia" w:ascii="仿宋_GB2312"/>
                <w:sz w:val="28"/>
                <w:szCs w:val="28"/>
              </w:rPr>
              <w:t>约束性</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567" w:hRule="atLeast"/>
          <w:jc w:val="center"/>
        </w:trPr>
        <w:tc>
          <w:tcPr>
            <w:tcW w:w="991" w:type="pct"/>
            <w:tcBorders>
              <w:left w:val="single" w:color="7E7E7E" w:themeColor="text1" w:themeTint="80" w:sz="4" w:space="0"/>
              <w:bottom w:val="single" w:color="7F7F7F" w:sz="4" w:space="0"/>
            </w:tcBorders>
          </w:tcPr>
          <w:p>
            <w:pPr>
              <w:pStyle w:val="49"/>
              <w:adjustRightInd w:val="0"/>
              <w:snapToGrid w:val="0"/>
              <w:jc w:val="center"/>
              <w:rPr>
                <w:rFonts w:hint="eastAsia" w:ascii="仿宋_GB2312"/>
                <w:b/>
                <w:bCs/>
                <w:sz w:val="28"/>
                <w:szCs w:val="28"/>
              </w:rPr>
            </w:pPr>
            <w:r>
              <w:rPr>
                <w:rFonts w:hint="eastAsia" w:ascii="仿宋_GB2312"/>
                <w:b/>
                <w:bCs/>
                <w:sz w:val="28"/>
                <w:szCs w:val="28"/>
              </w:rPr>
              <w:t>防疫建设</w:t>
            </w:r>
          </w:p>
        </w:tc>
        <w:tc>
          <w:tcPr>
            <w:tcW w:w="2174" w:type="pct"/>
          </w:tcPr>
          <w:p>
            <w:pPr>
              <w:pStyle w:val="49"/>
              <w:adjustRightInd w:val="0"/>
              <w:snapToGrid w:val="0"/>
              <w:rPr>
                <w:rFonts w:hint="eastAsia" w:ascii="仿宋_GB2312"/>
                <w:sz w:val="28"/>
                <w:szCs w:val="28"/>
              </w:rPr>
            </w:pPr>
            <w:bookmarkStart w:id="23" w:name="OLE_LINK29"/>
            <w:r>
              <w:rPr>
                <w:rFonts w:hint="eastAsia" w:ascii="仿宋_GB2312"/>
                <w:color w:val="auto"/>
                <w:sz w:val="28"/>
                <w:szCs w:val="28"/>
                <w:lang w:eastAsia="zh-CN"/>
              </w:rPr>
              <w:t>猪伪狂犬</w:t>
            </w:r>
            <w:r>
              <w:rPr>
                <w:rFonts w:hint="eastAsia" w:ascii="仿宋_GB2312"/>
                <w:color w:val="auto"/>
                <w:sz w:val="28"/>
                <w:szCs w:val="28"/>
              </w:rPr>
              <w:t>病净化场</w:t>
            </w:r>
            <w:r>
              <w:rPr>
                <w:rFonts w:hint="eastAsia" w:ascii="仿宋_GB2312"/>
                <w:sz w:val="28"/>
                <w:szCs w:val="28"/>
              </w:rPr>
              <w:t>（个）</w:t>
            </w:r>
            <w:bookmarkEnd w:id="23"/>
          </w:p>
        </w:tc>
        <w:tc>
          <w:tcPr>
            <w:tcW w:w="1020" w:type="pct"/>
          </w:tcPr>
          <w:p>
            <w:pPr>
              <w:pStyle w:val="49"/>
              <w:adjustRightInd w:val="0"/>
              <w:snapToGrid w:val="0"/>
              <w:jc w:val="center"/>
              <w:rPr>
                <w:rFonts w:hint="eastAsia" w:ascii="仿宋_GB2312"/>
                <w:sz w:val="28"/>
                <w:szCs w:val="28"/>
              </w:rPr>
            </w:pPr>
            <w:r>
              <w:rPr>
                <w:rFonts w:hint="eastAsia" w:ascii="仿宋_GB2312"/>
                <w:sz w:val="28"/>
                <w:szCs w:val="28"/>
              </w:rPr>
              <w:t>1</w:t>
            </w:r>
          </w:p>
        </w:tc>
        <w:tc>
          <w:tcPr>
            <w:tcW w:w="815" w:type="pct"/>
            <w:tcBorders>
              <w:right w:val="single" w:color="7E7E7E" w:themeColor="text1" w:themeTint="80" w:sz="4" w:space="0"/>
            </w:tcBorders>
          </w:tcPr>
          <w:p>
            <w:pPr>
              <w:pStyle w:val="49"/>
              <w:adjustRightInd w:val="0"/>
              <w:snapToGrid w:val="0"/>
              <w:rPr>
                <w:rFonts w:hint="eastAsia" w:ascii="仿宋_GB2312"/>
                <w:sz w:val="28"/>
                <w:szCs w:val="28"/>
              </w:rPr>
            </w:pPr>
            <w:r>
              <w:rPr>
                <w:rFonts w:hint="eastAsia" w:ascii="仿宋_GB2312"/>
                <w:sz w:val="28"/>
                <w:szCs w:val="28"/>
              </w:rPr>
              <w:t>预期性</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567" w:hRule="atLeast"/>
          <w:jc w:val="center"/>
        </w:trPr>
        <w:tc>
          <w:tcPr>
            <w:tcW w:w="991" w:type="pct"/>
            <w:tcBorders>
              <w:top w:val="single" w:color="7F7F7F" w:sz="4" w:space="0"/>
              <w:left w:val="single" w:color="7E7E7E" w:themeColor="text1" w:themeTint="80" w:sz="4" w:space="0"/>
              <w:bottom w:val="single" w:color="7F7F7F" w:sz="4" w:space="0"/>
            </w:tcBorders>
          </w:tcPr>
          <w:p>
            <w:pPr>
              <w:pStyle w:val="49"/>
              <w:adjustRightInd w:val="0"/>
              <w:snapToGrid w:val="0"/>
              <w:jc w:val="center"/>
              <w:rPr>
                <w:rFonts w:hint="eastAsia" w:ascii="仿宋_GB2312"/>
                <w:b/>
                <w:bCs/>
                <w:sz w:val="28"/>
                <w:szCs w:val="28"/>
              </w:rPr>
            </w:pPr>
            <w:r>
              <w:rPr>
                <w:rFonts w:hint="eastAsia" w:ascii="仿宋_GB2312"/>
                <w:b/>
                <w:bCs/>
                <w:sz w:val="28"/>
                <w:szCs w:val="28"/>
              </w:rPr>
              <w:t>科技发展</w:t>
            </w:r>
          </w:p>
        </w:tc>
        <w:tc>
          <w:tcPr>
            <w:tcW w:w="2174" w:type="pct"/>
            <w:tcBorders>
              <w:top w:val="single" w:color="7E7E7E" w:themeColor="text1" w:themeTint="80" w:sz="4" w:space="0"/>
              <w:bottom w:val="single" w:color="7E7E7E" w:themeColor="text1" w:themeTint="80" w:sz="4" w:space="0"/>
            </w:tcBorders>
          </w:tcPr>
          <w:p>
            <w:pPr>
              <w:pStyle w:val="49"/>
              <w:adjustRightInd w:val="0"/>
              <w:snapToGrid w:val="0"/>
              <w:rPr>
                <w:rFonts w:hint="eastAsia" w:ascii="仿宋_GB2312"/>
                <w:sz w:val="28"/>
                <w:szCs w:val="28"/>
              </w:rPr>
            </w:pPr>
            <w:r>
              <w:rPr>
                <w:rFonts w:hint="eastAsia" w:ascii="仿宋_GB2312"/>
                <w:sz w:val="28"/>
                <w:szCs w:val="28"/>
              </w:rPr>
              <w:t>畜牧业机械化率（%）</w:t>
            </w:r>
          </w:p>
        </w:tc>
        <w:tc>
          <w:tcPr>
            <w:tcW w:w="1020" w:type="pct"/>
            <w:tcBorders>
              <w:top w:val="single" w:color="7E7E7E" w:themeColor="text1" w:themeTint="80" w:sz="4" w:space="0"/>
              <w:bottom w:val="single" w:color="7E7E7E" w:themeColor="text1" w:themeTint="80" w:sz="4" w:space="0"/>
            </w:tcBorders>
          </w:tcPr>
          <w:p>
            <w:pPr>
              <w:pStyle w:val="49"/>
              <w:adjustRightInd w:val="0"/>
              <w:snapToGrid w:val="0"/>
              <w:jc w:val="center"/>
              <w:rPr>
                <w:rFonts w:hint="eastAsia" w:ascii="仿宋_GB2312"/>
                <w:sz w:val="28"/>
                <w:szCs w:val="28"/>
              </w:rPr>
            </w:pPr>
            <w:r>
              <w:rPr>
                <w:rFonts w:hint="eastAsia" w:ascii="仿宋_GB2312"/>
                <w:sz w:val="28"/>
                <w:szCs w:val="28"/>
              </w:rPr>
              <w:t>85</w:t>
            </w:r>
          </w:p>
        </w:tc>
        <w:tc>
          <w:tcPr>
            <w:tcW w:w="815" w:type="pct"/>
            <w:tcBorders>
              <w:top w:val="single" w:color="7E7E7E" w:themeColor="text1" w:themeTint="80" w:sz="4" w:space="0"/>
              <w:bottom w:val="single" w:color="7E7E7E" w:themeColor="text1" w:themeTint="80" w:sz="4" w:space="0"/>
              <w:right w:val="single" w:color="7E7E7E" w:themeColor="text1" w:themeTint="80" w:sz="4" w:space="0"/>
            </w:tcBorders>
          </w:tcPr>
          <w:p>
            <w:pPr>
              <w:pStyle w:val="49"/>
              <w:adjustRightInd w:val="0"/>
              <w:snapToGrid w:val="0"/>
              <w:rPr>
                <w:rFonts w:hint="eastAsia" w:ascii="仿宋_GB2312"/>
                <w:sz w:val="28"/>
                <w:szCs w:val="28"/>
              </w:rPr>
            </w:pPr>
            <w:r>
              <w:rPr>
                <w:rFonts w:hint="eastAsia" w:ascii="仿宋_GB2312"/>
                <w:sz w:val="28"/>
                <w:szCs w:val="28"/>
              </w:rPr>
              <w:t>预期性</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567" w:hRule="atLeast"/>
          <w:jc w:val="center"/>
        </w:trPr>
        <w:tc>
          <w:tcPr>
            <w:tcW w:w="991" w:type="pct"/>
            <w:tcBorders>
              <w:top w:val="single" w:color="7F7F7F" w:sz="4" w:space="0"/>
              <w:left w:val="single" w:color="7E7E7E" w:themeColor="text1" w:themeTint="80" w:sz="4" w:space="0"/>
            </w:tcBorders>
          </w:tcPr>
          <w:p>
            <w:pPr>
              <w:pStyle w:val="49"/>
              <w:adjustRightInd w:val="0"/>
              <w:snapToGrid w:val="0"/>
              <w:jc w:val="center"/>
              <w:rPr>
                <w:rFonts w:hint="eastAsia" w:ascii="仿宋_GB2312"/>
                <w:b/>
                <w:bCs/>
                <w:sz w:val="28"/>
                <w:szCs w:val="28"/>
              </w:rPr>
            </w:pPr>
            <w:r>
              <w:rPr>
                <w:rFonts w:hint="eastAsia" w:ascii="仿宋_GB2312"/>
                <w:b/>
                <w:bCs/>
                <w:sz w:val="28"/>
                <w:szCs w:val="28"/>
              </w:rPr>
              <w:t>品牌建设</w:t>
            </w:r>
          </w:p>
        </w:tc>
        <w:tc>
          <w:tcPr>
            <w:tcW w:w="2174" w:type="pct"/>
          </w:tcPr>
          <w:p>
            <w:pPr>
              <w:pStyle w:val="49"/>
              <w:adjustRightInd w:val="0"/>
              <w:snapToGrid w:val="0"/>
              <w:rPr>
                <w:rFonts w:hint="eastAsia" w:ascii="仿宋_GB2312"/>
                <w:sz w:val="28"/>
                <w:szCs w:val="28"/>
              </w:rPr>
            </w:pPr>
            <w:r>
              <w:rPr>
                <w:rFonts w:hint="eastAsia" w:ascii="仿宋_GB2312"/>
                <w:sz w:val="28"/>
                <w:szCs w:val="28"/>
              </w:rPr>
              <w:t>省级以上品牌数量（个）</w:t>
            </w:r>
          </w:p>
        </w:tc>
        <w:tc>
          <w:tcPr>
            <w:tcW w:w="1020" w:type="pct"/>
          </w:tcPr>
          <w:p>
            <w:pPr>
              <w:pStyle w:val="49"/>
              <w:adjustRightInd w:val="0"/>
              <w:snapToGrid w:val="0"/>
              <w:jc w:val="center"/>
              <w:rPr>
                <w:rFonts w:hint="eastAsia" w:ascii="仿宋_GB2312"/>
                <w:sz w:val="28"/>
                <w:szCs w:val="28"/>
              </w:rPr>
            </w:pPr>
            <w:r>
              <w:rPr>
                <w:rFonts w:hint="eastAsia" w:ascii="仿宋_GB2312"/>
                <w:sz w:val="28"/>
                <w:szCs w:val="28"/>
              </w:rPr>
              <w:t>5</w:t>
            </w:r>
          </w:p>
        </w:tc>
        <w:tc>
          <w:tcPr>
            <w:tcW w:w="815" w:type="pct"/>
            <w:tcBorders>
              <w:right w:val="single" w:color="7E7E7E" w:themeColor="text1" w:themeTint="80" w:sz="4" w:space="0"/>
            </w:tcBorders>
          </w:tcPr>
          <w:p>
            <w:pPr>
              <w:pStyle w:val="49"/>
              <w:adjustRightInd w:val="0"/>
              <w:snapToGrid w:val="0"/>
              <w:rPr>
                <w:rFonts w:hint="eastAsia" w:ascii="仿宋_GB2312"/>
                <w:sz w:val="28"/>
                <w:szCs w:val="28"/>
              </w:rPr>
            </w:pPr>
            <w:r>
              <w:rPr>
                <w:rFonts w:hint="eastAsia" w:ascii="仿宋_GB2312"/>
                <w:sz w:val="28"/>
                <w:szCs w:val="28"/>
              </w:rPr>
              <w:t>预期性</w:t>
            </w:r>
          </w:p>
        </w:tc>
      </w:tr>
    </w:tbl>
    <w:p>
      <w:pPr>
        <w:spacing w:after="156" w:afterLines="50"/>
        <w:ind w:firstLine="602"/>
        <w:jc w:val="center"/>
        <w:rPr>
          <w:rStyle w:val="31"/>
          <w:rFonts w:ascii="仿宋_GB2312" w:hAnsiTheme="minorEastAsia"/>
          <w:color w:val="auto"/>
          <w:szCs w:val="30"/>
        </w:rPr>
      </w:pP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7"/>
        <w:gridCol w:w="2835"/>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8296" w:type="dxa"/>
            <w:gridSpan w:val="3"/>
          </w:tcPr>
          <w:p>
            <w:pPr>
              <w:pStyle w:val="49"/>
              <w:adjustRightInd w:val="0"/>
              <w:snapToGrid w:val="0"/>
              <w:spacing w:before="156" w:beforeLines="50" w:after="156" w:afterLines="50"/>
              <w:jc w:val="center"/>
              <w:rPr>
                <w:rFonts w:hint="eastAsia" w:ascii="仿宋_GB2312" w:hAnsiTheme="majorEastAsia"/>
                <w:b/>
                <w:bCs/>
              </w:rPr>
            </w:pPr>
            <w:r>
              <w:rPr>
                <w:rFonts w:hint="eastAsia" w:hAnsiTheme="majorEastAsia"/>
                <w:b/>
                <w:bCs/>
              </w:rPr>
              <w:t>专栏二 “十五五”闽清县畜牧业发展阶段目标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tcPr>
          <w:p>
            <w:pPr>
              <w:ind w:firstLine="0" w:firstLineChars="0"/>
              <w:jc w:val="center"/>
              <w:rPr>
                <w:rFonts w:ascii="仿宋_GB2312"/>
                <w:b/>
                <w:bCs/>
              </w:rPr>
            </w:pPr>
            <w:r>
              <w:rPr>
                <w:rFonts w:hint="eastAsia" w:ascii="仿宋_GB2312"/>
                <w:b/>
                <w:bCs/>
              </w:rPr>
              <w:t>近期（2026</w:t>
            </w:r>
          </w:p>
          <w:p>
            <w:pPr>
              <w:ind w:firstLine="0" w:firstLineChars="0"/>
              <w:jc w:val="center"/>
              <w:rPr>
                <w:rFonts w:ascii="仿宋_GB2312"/>
                <w:b/>
                <w:bCs/>
              </w:rPr>
            </w:pPr>
            <w:r>
              <w:rPr>
                <w:rFonts w:hint="eastAsia" w:ascii="仿宋_GB2312"/>
                <w:b/>
                <w:bCs/>
              </w:rPr>
              <w:noBreakHyphen/>
            </w:r>
            <w:r>
              <w:rPr>
                <w:rFonts w:hint="eastAsia" w:ascii="仿宋_GB2312"/>
                <w:b/>
                <w:bCs/>
              </w:rPr>
              <w:t>2027年）</w:t>
            </w:r>
          </w:p>
        </w:tc>
        <w:tc>
          <w:tcPr>
            <w:tcW w:w="2835" w:type="dxa"/>
          </w:tcPr>
          <w:p>
            <w:pPr>
              <w:ind w:firstLine="0" w:firstLineChars="0"/>
              <w:jc w:val="center"/>
              <w:rPr>
                <w:rFonts w:ascii="仿宋_GB2312"/>
                <w:b/>
                <w:bCs/>
              </w:rPr>
            </w:pPr>
            <w:r>
              <w:rPr>
                <w:rFonts w:hint="eastAsia" w:ascii="仿宋_GB2312"/>
                <w:b/>
                <w:bCs/>
              </w:rPr>
              <w:t>中期（2028</w:t>
            </w:r>
          </w:p>
          <w:p>
            <w:pPr>
              <w:ind w:firstLine="0" w:firstLineChars="0"/>
              <w:jc w:val="center"/>
              <w:rPr>
                <w:rFonts w:ascii="仿宋_GB2312"/>
                <w:b/>
                <w:bCs/>
              </w:rPr>
            </w:pPr>
            <w:r>
              <w:rPr>
                <w:rFonts w:hint="eastAsia" w:ascii="仿宋_GB2312"/>
                <w:b/>
                <w:bCs/>
              </w:rPr>
              <w:noBreakHyphen/>
            </w:r>
            <w:r>
              <w:rPr>
                <w:rFonts w:hint="eastAsia" w:ascii="仿宋_GB2312"/>
                <w:b/>
                <w:bCs/>
              </w:rPr>
              <w:t>2029年）</w:t>
            </w:r>
          </w:p>
        </w:tc>
        <w:tc>
          <w:tcPr>
            <w:tcW w:w="2914" w:type="dxa"/>
          </w:tcPr>
          <w:p>
            <w:pPr>
              <w:ind w:firstLine="0" w:firstLineChars="0"/>
              <w:jc w:val="center"/>
              <w:rPr>
                <w:rFonts w:ascii="仿宋_GB2312"/>
                <w:b/>
                <w:bCs/>
              </w:rPr>
            </w:pPr>
            <w:r>
              <w:rPr>
                <w:rFonts w:hint="eastAsia" w:ascii="仿宋_GB2312"/>
                <w:b/>
                <w:bCs/>
              </w:rPr>
              <w:t>远期（2030年）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tcPr>
          <w:p>
            <w:pPr>
              <w:pStyle w:val="49"/>
              <w:ind w:firstLine="560" w:firstLineChars="200"/>
              <w:jc w:val="left"/>
              <w:rPr>
                <w:rFonts w:ascii="仿宋_GB2312"/>
                <w:sz w:val="28"/>
                <w:szCs w:val="28"/>
              </w:rPr>
            </w:pPr>
            <w:r>
              <w:rPr>
                <w:rFonts w:hint="eastAsia" w:ascii="仿宋_GB2312"/>
                <w:sz w:val="28"/>
                <w:szCs w:val="28"/>
              </w:rPr>
              <w:t>完善养殖基础设施，引导中小养殖户向规模化转型，力争规模化养殖率达90%。</w:t>
            </w:r>
          </w:p>
          <w:p>
            <w:pPr>
              <w:pStyle w:val="49"/>
              <w:ind w:firstLine="560" w:firstLineChars="200"/>
              <w:jc w:val="left"/>
              <w:rPr>
                <w:rFonts w:ascii="仿宋_GB2312"/>
                <w:sz w:val="28"/>
                <w:szCs w:val="28"/>
              </w:rPr>
            </w:pPr>
            <w:r>
              <w:rPr>
                <w:rFonts w:hint="eastAsia" w:ascii="仿宋_GB2312"/>
                <w:sz w:val="28"/>
                <w:szCs w:val="28"/>
              </w:rPr>
              <w:t>推动正大闽清500万羽蛋鸡全产业链项目开工。</w:t>
            </w:r>
          </w:p>
          <w:p>
            <w:pPr>
              <w:pStyle w:val="49"/>
              <w:ind w:firstLine="560" w:firstLineChars="200"/>
              <w:jc w:val="left"/>
              <w:rPr>
                <w:rFonts w:ascii="仿宋_GB2312"/>
                <w:sz w:val="28"/>
                <w:szCs w:val="28"/>
              </w:rPr>
            </w:pPr>
            <w:r>
              <w:rPr>
                <w:rFonts w:hint="eastAsia" w:ascii="仿宋_GB2312"/>
                <w:sz w:val="28"/>
                <w:szCs w:val="28"/>
              </w:rPr>
              <w:t>整合中小型猪场，培育2</w:t>
            </w:r>
            <w:r>
              <w:rPr>
                <w:rFonts w:hint="eastAsia" w:ascii="仿宋_GB2312"/>
                <w:sz w:val="28"/>
                <w:szCs w:val="28"/>
              </w:rPr>
              <w:noBreakHyphen/>
            </w:r>
            <w:r>
              <w:rPr>
                <w:rFonts w:hint="eastAsia" w:ascii="仿宋_GB2312"/>
                <w:sz w:val="28"/>
                <w:szCs w:val="28"/>
              </w:rPr>
              <w:t>5家万头以上规模猪场。</w:t>
            </w:r>
          </w:p>
        </w:tc>
        <w:tc>
          <w:tcPr>
            <w:tcW w:w="2835" w:type="dxa"/>
          </w:tcPr>
          <w:p>
            <w:pPr>
              <w:pStyle w:val="49"/>
              <w:ind w:firstLine="560" w:firstLineChars="200"/>
              <w:jc w:val="left"/>
              <w:rPr>
                <w:rFonts w:ascii="仿宋_GB2312"/>
                <w:sz w:val="28"/>
                <w:szCs w:val="28"/>
              </w:rPr>
            </w:pPr>
            <w:r>
              <w:rPr>
                <w:rFonts w:hint="eastAsia" w:ascii="仿宋_GB2312"/>
                <w:sz w:val="28"/>
                <w:szCs w:val="28"/>
              </w:rPr>
              <w:t>严守环境底线，新增肉鸡存栏800</w:t>
            </w:r>
            <w:r>
              <w:rPr>
                <w:rFonts w:hint="eastAsia" w:ascii="仿宋_GB2312"/>
                <w:sz w:val="28"/>
                <w:szCs w:val="28"/>
              </w:rPr>
              <w:noBreakHyphen/>
            </w:r>
            <w:r>
              <w:rPr>
                <w:rFonts w:hint="eastAsia" w:ascii="仿宋_GB2312"/>
                <w:sz w:val="28"/>
                <w:szCs w:val="28"/>
              </w:rPr>
              <w:t>900万羽。</w:t>
            </w:r>
          </w:p>
          <w:p>
            <w:pPr>
              <w:pStyle w:val="49"/>
              <w:ind w:firstLine="560" w:firstLineChars="200"/>
              <w:jc w:val="left"/>
              <w:rPr>
                <w:rFonts w:ascii="仿宋_GB2312"/>
                <w:sz w:val="28"/>
                <w:szCs w:val="28"/>
              </w:rPr>
            </w:pPr>
            <w:r>
              <w:rPr>
                <w:rFonts w:hint="eastAsia" w:ascii="仿宋_GB2312"/>
                <w:sz w:val="28"/>
                <w:szCs w:val="28"/>
              </w:rPr>
              <w:t>引进培育畜禽加工主体，建设深加工生产线，布局冷链物流中心，拓展冷鲜肉外销渠道；</w:t>
            </w:r>
          </w:p>
          <w:p>
            <w:pPr>
              <w:pStyle w:val="49"/>
              <w:ind w:firstLine="560" w:firstLineChars="200"/>
              <w:jc w:val="left"/>
              <w:rPr>
                <w:rFonts w:ascii="仿宋_GB2312"/>
                <w:sz w:val="28"/>
                <w:szCs w:val="28"/>
              </w:rPr>
            </w:pPr>
            <w:r>
              <w:rPr>
                <w:rFonts w:hint="eastAsia" w:ascii="仿宋_GB2312"/>
                <w:sz w:val="28"/>
                <w:szCs w:val="28"/>
              </w:rPr>
              <w:t>推广智能养殖技术，规模养殖场智能装备普及率达60%。</w:t>
            </w:r>
          </w:p>
        </w:tc>
        <w:tc>
          <w:tcPr>
            <w:tcW w:w="2914" w:type="dxa"/>
          </w:tcPr>
          <w:p>
            <w:pPr>
              <w:pStyle w:val="49"/>
              <w:ind w:firstLine="560" w:firstLineChars="200"/>
              <w:jc w:val="left"/>
              <w:rPr>
                <w:rFonts w:ascii="仿宋_GB2312"/>
                <w:sz w:val="28"/>
                <w:szCs w:val="28"/>
              </w:rPr>
            </w:pPr>
            <w:r>
              <w:rPr>
                <w:rFonts w:hint="eastAsia" w:ascii="仿宋_GB2312"/>
                <w:sz w:val="28"/>
                <w:szCs w:val="28"/>
              </w:rPr>
              <w:t>构建完整畜牧业全产业链，全面提升养殖机械化，生猪规模化养殖率95%以上，粪污综合利用率稳定超93%。</w:t>
            </w:r>
          </w:p>
          <w:p>
            <w:pPr>
              <w:pStyle w:val="49"/>
              <w:ind w:firstLine="560" w:firstLineChars="200"/>
              <w:jc w:val="left"/>
              <w:rPr>
                <w:rFonts w:ascii="仿宋_GB2312"/>
                <w:sz w:val="28"/>
                <w:szCs w:val="28"/>
              </w:rPr>
            </w:pPr>
            <w:r>
              <w:rPr>
                <w:rFonts w:hint="eastAsia" w:ascii="仿宋_GB2312"/>
                <w:sz w:val="28"/>
                <w:szCs w:val="28"/>
              </w:rPr>
              <w:t>提升产品质量安全，打造地理标志特色畜牧品牌，建成集养殖、加工、销售的县域特色产业集群。</w:t>
            </w:r>
          </w:p>
        </w:tc>
      </w:tr>
    </w:tbl>
    <w:p>
      <w:pPr>
        <w:pStyle w:val="3"/>
        <w:ind w:firstLine="643"/>
      </w:pPr>
      <w:bookmarkStart w:id="24" w:name="_Toc240753864"/>
      <w:r>
        <w:rPr>
          <w:rFonts w:hint="eastAsia"/>
        </w:rPr>
        <w:t>（四）</w:t>
      </w:r>
      <w:r>
        <w:t>发展预测</w:t>
      </w:r>
      <w:bookmarkEnd w:id="24"/>
    </w:p>
    <w:p>
      <w:pPr>
        <w:ind w:firstLine="600"/>
        <w:rPr>
          <w:rStyle w:val="31"/>
          <w:rFonts w:ascii="仿宋_GB2312" w:hAnsiTheme="minorEastAsia"/>
          <w:color w:val="auto"/>
          <w:szCs w:val="30"/>
        </w:rPr>
      </w:pPr>
      <w:r>
        <w:rPr>
          <w:rFonts w:hint="eastAsia" w:ascii="仿宋_GB2312"/>
        </w:rPr>
        <w:t>依据《畜禽粪污土地承载力测算技术指南》开展土地承载力核算，以氮养分消纳为核心，选取施肥供给养分占比0.6、粪肥占施肥比例0.5等参数开展测算。经测算，全县耕地、园地、林地畜禽粪污保守理论承载力为169.29万猪当量，乐观承载力可达252.83万猪当量；林地是重要粪污消纳载体，提供超过35%的消纳弹性，支撑“种植</w:t>
      </w:r>
      <w:r>
        <w:rPr>
          <w:rFonts w:hint="eastAsia" w:ascii="仿宋_GB2312"/>
        </w:rPr>
        <w:noBreakHyphen/>
      </w:r>
      <w:r>
        <w:rPr>
          <w:rFonts w:hint="eastAsia" w:ascii="仿宋_GB2312"/>
        </w:rPr>
        <w:t>养殖</w:t>
      </w:r>
      <w:r>
        <w:rPr>
          <w:rFonts w:hint="eastAsia" w:ascii="仿宋_GB2312"/>
        </w:rPr>
        <w:noBreakHyphen/>
      </w:r>
      <w:r>
        <w:rPr>
          <w:rFonts w:hint="eastAsia" w:ascii="仿宋_GB2312"/>
        </w:rPr>
        <w:t>林果”循环发展模式。参考相关研究成果，养殖负荷超过保守承载力50%时，生态风险将显著上升，据此确定全县养殖安全控制阈值为≤84.64万猪当量。</w:t>
      </w:r>
    </w:p>
    <w:tbl>
      <w:tblPr>
        <w:tblStyle w:val="57"/>
        <w:tblW w:w="8381" w:type="dxa"/>
        <w:jc w:val="center"/>
        <w:tblBorders>
          <w:top w:val="single" w:color="7F7F7F" w:sz="4" w:space="0"/>
          <w:left w:val="none" w:color="auto" w:sz="0" w:space="0"/>
          <w:bottom w:val="single" w:color="7F7F7F"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04"/>
        <w:gridCol w:w="1843"/>
        <w:gridCol w:w="1019"/>
        <w:gridCol w:w="1536"/>
        <w:gridCol w:w="1659"/>
        <w:gridCol w:w="1620"/>
      </w:tblGrid>
      <w:tr>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381" w:type="dxa"/>
            <w:gridSpan w:val="6"/>
            <w:tcBorders>
              <w:top w:val="single" w:color="7F7F7F" w:sz="4" w:space="0"/>
              <w:left w:val="single" w:color="7F7F7F" w:sz="4" w:space="0"/>
              <w:bottom w:val="single" w:color="7F7F7F" w:sz="4" w:space="0"/>
              <w:right w:val="single" w:color="7F7F7F" w:sz="4" w:space="0"/>
              <w:insideH w:val="single" w:sz="4" w:space="0"/>
            </w:tcBorders>
          </w:tcPr>
          <w:p>
            <w:pPr>
              <w:pStyle w:val="49"/>
              <w:adjustRightInd w:val="0"/>
              <w:snapToGrid w:val="0"/>
              <w:spacing w:before="156" w:beforeLines="50" w:after="156" w:afterLines="50"/>
              <w:jc w:val="center"/>
              <w:rPr>
                <w:rFonts w:hint="eastAsia" w:hAnsiTheme="majorEastAsia"/>
                <w:b/>
                <w:bCs/>
              </w:rPr>
            </w:pPr>
            <w:r>
              <w:rPr>
                <w:rFonts w:hint="eastAsia" w:hAnsiTheme="majorEastAsia"/>
                <w:b/>
                <w:bCs/>
              </w:rPr>
              <w:t>专栏三 闽清县畜禽粪污土地承载力测算</w:t>
            </w:r>
          </w:p>
        </w:tc>
      </w:tr>
      <w:tr>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04" w:type="dxa"/>
            <w:tcBorders>
              <w:top w:val="single" w:color="7F7F7F" w:sz="4" w:space="0"/>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b w:val="0"/>
                <w:bCs w:val="0"/>
                <w:kern w:val="0"/>
                <w:sz w:val="22"/>
              </w:rPr>
            </w:pPr>
            <w:r>
              <w:rPr>
                <w:rFonts w:hint="eastAsia" w:ascii="仿宋_GB2312" w:hAnsi="Arial" w:cs="Arial"/>
                <w:b/>
                <w:bCs/>
                <w:kern w:val="0"/>
                <w:sz w:val="22"/>
              </w:rPr>
              <w:t>土地类型</w:t>
            </w:r>
          </w:p>
        </w:tc>
        <w:tc>
          <w:tcPr>
            <w:tcW w:w="1843" w:type="dxa"/>
            <w:tcBorders>
              <w:top w:val="single" w:color="7F7F7F" w:sz="4" w:space="0"/>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b/>
                <w:bCs/>
                <w:kern w:val="0"/>
                <w:sz w:val="22"/>
              </w:rPr>
            </w:pPr>
            <w:r>
              <w:rPr>
                <w:rFonts w:hint="eastAsia" w:ascii="仿宋_GB2312" w:hAnsi="Arial" w:cs="Arial"/>
                <w:kern w:val="0"/>
                <w:sz w:val="22"/>
              </w:rPr>
              <w:t>细分类别</w:t>
            </w:r>
          </w:p>
        </w:tc>
        <w:tc>
          <w:tcPr>
            <w:tcW w:w="1019" w:type="dxa"/>
            <w:tcBorders>
              <w:top w:val="single" w:color="7F7F7F" w:sz="4" w:space="0"/>
              <w:left w:val="single" w:color="7F7F7F" w:sz="4" w:space="0"/>
              <w:right w:val="single" w:color="7F7F7F" w:sz="4" w:space="0"/>
            </w:tcBorders>
          </w:tcPr>
          <w:p>
            <w:pPr>
              <w:widowControl/>
              <w:spacing w:before="120" w:after="120" w:line="288" w:lineRule="auto"/>
              <w:ind w:right="-150" w:rightChars="-50" w:firstLine="0" w:firstLineChars="0"/>
              <w:jc w:val="left"/>
              <w:rPr>
                <w:rFonts w:ascii="仿宋_GB2312" w:hAnsi="Arial" w:cs="Arial"/>
                <w:b/>
                <w:bCs/>
                <w:kern w:val="0"/>
                <w:sz w:val="22"/>
              </w:rPr>
            </w:pPr>
            <w:r>
              <w:rPr>
                <w:rFonts w:hint="eastAsia" w:ascii="仿宋_GB2312" w:hAnsi="Arial" w:cs="Arial"/>
                <w:kern w:val="0"/>
                <w:sz w:val="22"/>
              </w:rPr>
              <w:t>种植/分布面积（万亩）</w:t>
            </w:r>
          </w:p>
        </w:tc>
        <w:tc>
          <w:tcPr>
            <w:tcW w:w="1536" w:type="dxa"/>
            <w:tcBorders>
              <w:top w:val="single" w:color="7F7F7F" w:sz="4" w:space="0"/>
              <w:left w:val="single" w:color="7F7F7F" w:sz="4" w:space="0"/>
              <w:right w:val="single" w:color="7F7F7F" w:sz="4" w:space="0"/>
            </w:tcBorders>
          </w:tcPr>
          <w:p>
            <w:pPr>
              <w:widowControl/>
              <w:spacing w:before="120" w:after="120" w:line="288" w:lineRule="auto"/>
              <w:ind w:right="-150" w:rightChars="-50" w:firstLine="0" w:firstLineChars="0"/>
              <w:jc w:val="left"/>
              <w:rPr>
                <w:rFonts w:ascii="仿宋_GB2312" w:hAnsi="Arial" w:cs="Arial"/>
                <w:b/>
                <w:bCs/>
                <w:kern w:val="0"/>
                <w:sz w:val="22"/>
              </w:rPr>
            </w:pPr>
            <w:r>
              <w:rPr>
                <w:rFonts w:hint="eastAsia" w:ascii="仿宋_GB2312" w:hAnsi="Arial" w:cs="Arial"/>
                <w:kern w:val="0"/>
                <w:sz w:val="22"/>
              </w:rPr>
              <w:t>土地承载力（年消纳纯氮，公斤/亩）</w:t>
            </w:r>
          </w:p>
        </w:tc>
        <w:tc>
          <w:tcPr>
            <w:tcW w:w="1659" w:type="dxa"/>
            <w:tcBorders>
              <w:top w:val="single" w:color="7F7F7F" w:sz="4" w:space="0"/>
              <w:left w:val="single" w:color="7F7F7F" w:sz="4" w:space="0"/>
              <w:right w:val="single" w:color="7F7F7F" w:sz="4" w:space="0"/>
            </w:tcBorders>
          </w:tcPr>
          <w:p>
            <w:pPr>
              <w:widowControl/>
              <w:spacing w:before="120" w:after="120" w:line="288" w:lineRule="auto"/>
              <w:ind w:right="-150" w:rightChars="-50" w:firstLine="0" w:firstLineChars="0"/>
              <w:jc w:val="left"/>
              <w:rPr>
                <w:rFonts w:ascii="仿宋_GB2312" w:hAnsi="Arial" w:cs="Arial"/>
                <w:b/>
                <w:bCs/>
                <w:kern w:val="0"/>
                <w:sz w:val="22"/>
              </w:rPr>
            </w:pPr>
            <w:r>
              <w:rPr>
                <w:rFonts w:hint="eastAsia" w:ascii="仿宋_GB2312" w:hAnsi="Arial" w:cs="Arial"/>
                <w:kern w:val="0"/>
                <w:sz w:val="22"/>
              </w:rPr>
              <w:t>区域土地粪肥养分需求量（保守折算成猪当量）</w:t>
            </w:r>
          </w:p>
        </w:tc>
        <w:tc>
          <w:tcPr>
            <w:tcW w:w="1620" w:type="dxa"/>
            <w:tcBorders>
              <w:top w:val="single" w:color="7F7F7F" w:sz="4" w:space="0"/>
              <w:left w:val="single" w:color="7F7F7F" w:sz="4" w:space="0"/>
              <w:right w:val="single" w:color="7F7F7F" w:sz="4" w:space="0"/>
            </w:tcBorders>
          </w:tcPr>
          <w:p>
            <w:pPr>
              <w:widowControl/>
              <w:spacing w:before="120" w:after="120" w:line="288" w:lineRule="auto"/>
              <w:ind w:right="-150" w:rightChars="-50" w:firstLine="0" w:firstLineChars="0"/>
              <w:jc w:val="left"/>
              <w:rPr>
                <w:rFonts w:ascii="仿宋_GB2312" w:hAnsi="Arial" w:cs="Arial"/>
                <w:b/>
                <w:bCs/>
                <w:kern w:val="0"/>
                <w:sz w:val="22"/>
              </w:rPr>
            </w:pPr>
            <w:r>
              <w:rPr>
                <w:rFonts w:hint="eastAsia" w:ascii="仿宋_GB2312" w:hAnsi="Arial" w:cs="Arial"/>
                <w:kern w:val="0"/>
                <w:sz w:val="22"/>
              </w:rPr>
              <w:t>区域土地粪肥养分需求量（乐观折算成猪当量）</w:t>
            </w:r>
          </w:p>
        </w:tc>
      </w:tr>
      <w:tr>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04" w:type="dxa"/>
            <w:vMerge w:val="restart"/>
            <w:tcBorders>
              <w:left w:val="single" w:color="7F7F7F" w:sz="4" w:space="0"/>
              <w:right w:val="single" w:color="7F7F7F" w:sz="4" w:space="0"/>
            </w:tcBorders>
            <w:vAlign w:val="center"/>
          </w:tcPr>
          <w:p>
            <w:pPr>
              <w:widowControl/>
              <w:spacing w:before="120" w:after="120" w:line="288" w:lineRule="auto"/>
              <w:ind w:firstLine="0" w:firstLineChars="0"/>
              <w:jc w:val="left"/>
              <w:rPr>
                <w:rFonts w:ascii="仿宋_GB2312" w:hAnsi="Arial" w:cs="Arial"/>
                <w:b/>
                <w:bCs/>
                <w:kern w:val="0"/>
                <w:sz w:val="22"/>
              </w:rPr>
            </w:pPr>
            <w:r>
              <w:rPr>
                <w:rFonts w:hint="eastAsia" w:ascii="仿宋_GB2312" w:hAnsi="Arial" w:cs="Arial"/>
                <w:b/>
                <w:bCs/>
                <w:kern w:val="0"/>
                <w:sz w:val="22"/>
              </w:rPr>
              <w:t>农</w:t>
            </w:r>
          </w:p>
          <w:p>
            <w:pPr>
              <w:widowControl/>
              <w:spacing w:before="120" w:after="120" w:line="288" w:lineRule="auto"/>
              <w:ind w:firstLine="0" w:firstLineChars="0"/>
              <w:jc w:val="left"/>
              <w:rPr>
                <w:rFonts w:ascii="仿宋_GB2312" w:hAnsi="Arial" w:cs="Arial"/>
                <w:b/>
                <w:bCs/>
                <w:kern w:val="0"/>
                <w:sz w:val="22"/>
              </w:rPr>
            </w:pPr>
            <w:r>
              <w:rPr>
                <w:rFonts w:hint="eastAsia" w:ascii="仿宋_GB2312" w:hAnsi="Arial" w:cs="Arial"/>
                <w:b/>
                <w:bCs/>
                <w:kern w:val="0"/>
                <w:sz w:val="22"/>
              </w:rPr>
              <w:t>作</w:t>
            </w:r>
          </w:p>
          <w:p>
            <w:pPr>
              <w:widowControl/>
              <w:spacing w:before="120" w:after="120" w:line="288" w:lineRule="auto"/>
              <w:ind w:firstLine="0" w:firstLineChars="0"/>
              <w:jc w:val="left"/>
              <w:rPr>
                <w:rFonts w:ascii="仿宋_GB2312" w:hAnsi="Arial" w:cs="Arial"/>
                <w:b/>
                <w:bCs/>
                <w:kern w:val="0"/>
                <w:sz w:val="22"/>
              </w:rPr>
            </w:pPr>
            <w:r>
              <w:rPr>
                <w:rFonts w:hint="eastAsia" w:ascii="仿宋_GB2312" w:hAnsi="Arial" w:cs="Arial"/>
                <w:b/>
                <w:bCs/>
                <w:kern w:val="0"/>
                <w:sz w:val="22"/>
              </w:rPr>
              <w:t>物</w:t>
            </w:r>
          </w:p>
        </w:tc>
        <w:tc>
          <w:tcPr>
            <w:tcW w:w="1843" w:type="dxa"/>
            <w:tcBorders>
              <w:left w:val="single" w:color="7F7F7F" w:sz="4" w:space="0"/>
              <w:right w:val="single" w:color="7F7F7F" w:sz="4" w:space="0"/>
            </w:tcBorders>
          </w:tcPr>
          <w:p>
            <w:pPr>
              <w:widowControl/>
              <w:spacing w:before="120" w:after="120" w:line="288" w:lineRule="auto"/>
              <w:ind w:firstLine="0" w:firstLineChars="0"/>
              <w:jc w:val="center"/>
              <w:rPr>
                <w:rFonts w:ascii="仿宋_GB2312" w:hAnsi="Arial" w:cs="Arial"/>
                <w:b/>
                <w:bCs/>
                <w:kern w:val="0"/>
                <w:sz w:val="22"/>
              </w:rPr>
            </w:pPr>
            <w:r>
              <w:rPr>
                <w:rFonts w:hint="eastAsia" w:ascii="仿宋_GB2312" w:hAnsi="Arial" w:cs="Arial"/>
                <w:b/>
                <w:bCs/>
                <w:kern w:val="0"/>
                <w:sz w:val="22"/>
              </w:rPr>
              <w:t>谷物</w:t>
            </w:r>
          </w:p>
        </w:tc>
        <w:tc>
          <w:tcPr>
            <w:tcW w:w="1019" w:type="dxa"/>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9.79</w:t>
            </w:r>
          </w:p>
        </w:tc>
        <w:tc>
          <w:tcPr>
            <w:tcW w:w="1536" w:type="dxa"/>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ascii="仿宋_GB2312" w:hAnsi="Arial" w:cs="Arial"/>
                <w:kern w:val="0"/>
                <w:sz w:val="22"/>
              </w:rPr>
              <w:t>8</w:t>
            </w:r>
            <w:r>
              <w:rPr>
                <w:rFonts w:hint="eastAsia" w:ascii="仿宋_GB2312" w:hAnsi="~" w:cs="Arial"/>
                <w:kern w:val="0"/>
                <w:sz w:val="22"/>
              </w:rPr>
              <w:t>～</w:t>
            </w:r>
            <w:r>
              <w:rPr>
                <w:rFonts w:ascii="仿宋_GB2312" w:hAnsi="Arial" w:cs="Arial"/>
                <w:kern w:val="0"/>
                <w:sz w:val="22"/>
              </w:rPr>
              <w:t>10</w:t>
            </w:r>
          </w:p>
        </w:tc>
        <w:tc>
          <w:tcPr>
            <w:tcW w:w="1659" w:type="dxa"/>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13.43</w:t>
            </w:r>
          </w:p>
        </w:tc>
        <w:tc>
          <w:tcPr>
            <w:tcW w:w="1620" w:type="dxa"/>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13.99</w:t>
            </w:r>
          </w:p>
        </w:tc>
      </w:tr>
      <w:tr>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PrEx>
        <w:trPr>
          <w:jc w:val="center"/>
        </w:trPr>
        <w:tc>
          <w:tcPr>
            <w:tcW w:w="704" w:type="dxa"/>
            <w:vMerge w:val="continue"/>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left"/>
              <w:rPr>
                <w:rFonts w:ascii="仿宋_GB2312" w:hAnsi="Arial" w:cs="Arial"/>
                <w:b/>
                <w:bCs/>
                <w:kern w:val="0"/>
                <w:sz w:val="22"/>
              </w:rPr>
            </w:pPr>
          </w:p>
        </w:tc>
        <w:tc>
          <w:tcPr>
            <w:tcW w:w="1843" w:type="dxa"/>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center"/>
              <w:rPr>
                <w:rFonts w:ascii="仿宋_GB2312" w:hAnsi="Arial" w:cs="Arial"/>
                <w:b/>
                <w:bCs/>
                <w:kern w:val="0"/>
                <w:sz w:val="22"/>
              </w:rPr>
            </w:pPr>
            <w:r>
              <w:rPr>
                <w:rFonts w:hint="eastAsia" w:ascii="仿宋_GB2312" w:hAnsi="Arial" w:cs="Arial"/>
                <w:b/>
                <w:bCs/>
                <w:kern w:val="0"/>
                <w:sz w:val="22"/>
              </w:rPr>
              <w:t>豆类</w:t>
            </w:r>
          </w:p>
        </w:tc>
        <w:tc>
          <w:tcPr>
            <w:tcW w:w="1019" w:type="dxa"/>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1.43</w:t>
            </w:r>
          </w:p>
        </w:tc>
        <w:tc>
          <w:tcPr>
            <w:tcW w:w="1536" w:type="dxa"/>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ascii="仿宋_GB2312" w:hAnsi="Arial" w:cs="Arial"/>
                <w:kern w:val="0"/>
                <w:sz w:val="22"/>
              </w:rPr>
              <w:t>5</w:t>
            </w:r>
            <w:r>
              <w:rPr>
                <w:rFonts w:hint="eastAsia" w:ascii="仿宋_GB2312" w:hAnsi="~" w:cs="Arial"/>
                <w:kern w:val="0"/>
                <w:sz w:val="22"/>
              </w:rPr>
              <w:t>～</w:t>
            </w:r>
            <w:r>
              <w:rPr>
                <w:rFonts w:ascii="仿宋_GB2312" w:hAnsi="Arial" w:cs="Arial"/>
                <w:kern w:val="0"/>
                <w:sz w:val="22"/>
              </w:rPr>
              <w:t>7</w:t>
            </w:r>
          </w:p>
        </w:tc>
        <w:tc>
          <w:tcPr>
            <w:tcW w:w="1659" w:type="dxa"/>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1.22</w:t>
            </w:r>
          </w:p>
        </w:tc>
        <w:tc>
          <w:tcPr>
            <w:tcW w:w="1620" w:type="dxa"/>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1.71</w:t>
            </w:r>
          </w:p>
        </w:tc>
      </w:tr>
      <w:tr>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04" w:type="dxa"/>
            <w:vMerge w:val="continue"/>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b/>
                <w:bCs/>
                <w:kern w:val="0"/>
                <w:sz w:val="22"/>
              </w:rPr>
            </w:pPr>
          </w:p>
        </w:tc>
        <w:tc>
          <w:tcPr>
            <w:tcW w:w="1843" w:type="dxa"/>
            <w:tcBorders>
              <w:left w:val="single" w:color="7F7F7F" w:sz="4" w:space="0"/>
              <w:right w:val="single" w:color="7F7F7F" w:sz="4" w:space="0"/>
            </w:tcBorders>
          </w:tcPr>
          <w:p>
            <w:pPr>
              <w:widowControl/>
              <w:spacing w:before="120" w:after="120" w:line="288" w:lineRule="auto"/>
              <w:ind w:firstLine="0" w:firstLineChars="0"/>
              <w:jc w:val="center"/>
              <w:rPr>
                <w:rFonts w:ascii="仿宋_GB2312" w:hAnsi="Arial" w:cs="Arial"/>
                <w:b/>
                <w:bCs/>
                <w:kern w:val="0"/>
                <w:sz w:val="22"/>
              </w:rPr>
            </w:pPr>
            <w:r>
              <w:rPr>
                <w:rFonts w:hint="eastAsia" w:ascii="仿宋_GB2312" w:hAnsi="Arial" w:cs="Arial"/>
                <w:b/>
                <w:bCs/>
                <w:kern w:val="0"/>
                <w:sz w:val="22"/>
              </w:rPr>
              <w:t>薯类（折粮）</w:t>
            </w:r>
          </w:p>
        </w:tc>
        <w:tc>
          <w:tcPr>
            <w:tcW w:w="1019" w:type="dxa"/>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3.13</w:t>
            </w:r>
          </w:p>
        </w:tc>
        <w:tc>
          <w:tcPr>
            <w:tcW w:w="1536" w:type="dxa"/>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7</w:t>
            </w:r>
            <w:r>
              <w:rPr>
                <w:rFonts w:hint="eastAsia" w:ascii="仿宋_GB2312" w:hAnsi="~" w:cs="Arial"/>
                <w:kern w:val="0"/>
                <w:sz w:val="22"/>
              </w:rPr>
              <w:t>～</w:t>
            </w:r>
            <w:r>
              <w:rPr>
                <w:rFonts w:hint="eastAsia" w:ascii="仿宋_GB2312" w:hAnsi="Arial" w:cs="Arial"/>
                <w:kern w:val="0"/>
                <w:sz w:val="22"/>
              </w:rPr>
              <w:t>9</w:t>
            </w:r>
          </w:p>
        </w:tc>
        <w:tc>
          <w:tcPr>
            <w:tcW w:w="1659" w:type="dxa"/>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3.76</w:t>
            </w:r>
          </w:p>
        </w:tc>
        <w:tc>
          <w:tcPr>
            <w:tcW w:w="1620" w:type="dxa"/>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4.83</w:t>
            </w:r>
          </w:p>
        </w:tc>
      </w:tr>
      <w:tr>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04" w:type="dxa"/>
            <w:vMerge w:val="continue"/>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left"/>
              <w:rPr>
                <w:rFonts w:ascii="仿宋_GB2312" w:hAnsi="Arial" w:cs="Arial"/>
                <w:b/>
                <w:bCs/>
                <w:kern w:val="0"/>
                <w:sz w:val="22"/>
              </w:rPr>
            </w:pPr>
          </w:p>
        </w:tc>
        <w:tc>
          <w:tcPr>
            <w:tcW w:w="1843" w:type="dxa"/>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center"/>
              <w:rPr>
                <w:rFonts w:ascii="仿宋_GB2312" w:hAnsi="Arial" w:cs="Arial"/>
                <w:b/>
                <w:bCs/>
                <w:kern w:val="0"/>
                <w:sz w:val="22"/>
              </w:rPr>
            </w:pPr>
            <w:r>
              <w:rPr>
                <w:rFonts w:hint="eastAsia" w:ascii="仿宋_GB2312" w:hAnsi="Arial" w:cs="Arial"/>
                <w:b/>
                <w:bCs/>
                <w:kern w:val="0"/>
                <w:sz w:val="22"/>
              </w:rPr>
              <w:t>茶叶</w:t>
            </w:r>
          </w:p>
        </w:tc>
        <w:tc>
          <w:tcPr>
            <w:tcW w:w="1019" w:type="dxa"/>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2.25</w:t>
            </w:r>
          </w:p>
        </w:tc>
        <w:tc>
          <w:tcPr>
            <w:tcW w:w="1536" w:type="dxa"/>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6</w:t>
            </w:r>
            <w:r>
              <w:rPr>
                <w:rFonts w:hint="eastAsia" w:ascii="仿宋_GB2312" w:hAnsi="~" w:cs="Arial"/>
                <w:kern w:val="0"/>
                <w:sz w:val="22"/>
              </w:rPr>
              <w:t>～</w:t>
            </w:r>
            <w:r>
              <w:rPr>
                <w:rFonts w:hint="eastAsia" w:ascii="仿宋_GB2312" w:hAnsi="Arial" w:cs="Arial"/>
                <w:kern w:val="0"/>
                <w:sz w:val="22"/>
              </w:rPr>
              <w:t>8</w:t>
            </w:r>
          </w:p>
        </w:tc>
        <w:tc>
          <w:tcPr>
            <w:tcW w:w="1659" w:type="dxa"/>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2.32</w:t>
            </w:r>
          </w:p>
        </w:tc>
        <w:tc>
          <w:tcPr>
            <w:tcW w:w="1620" w:type="dxa"/>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3.09</w:t>
            </w:r>
          </w:p>
        </w:tc>
      </w:tr>
      <w:tr>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04" w:type="dxa"/>
            <w:vMerge w:val="continue"/>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b/>
                <w:bCs/>
                <w:kern w:val="0"/>
                <w:sz w:val="22"/>
              </w:rPr>
            </w:pPr>
          </w:p>
        </w:tc>
        <w:tc>
          <w:tcPr>
            <w:tcW w:w="1843" w:type="dxa"/>
            <w:tcBorders>
              <w:left w:val="single" w:color="7F7F7F" w:sz="4" w:space="0"/>
              <w:right w:val="single" w:color="7F7F7F" w:sz="4" w:space="0"/>
            </w:tcBorders>
          </w:tcPr>
          <w:p>
            <w:pPr>
              <w:widowControl/>
              <w:spacing w:before="120" w:after="120" w:line="288" w:lineRule="auto"/>
              <w:ind w:firstLine="0" w:firstLineChars="0"/>
              <w:jc w:val="center"/>
              <w:rPr>
                <w:rFonts w:ascii="仿宋_GB2312" w:hAnsi="Arial" w:cs="Arial"/>
                <w:b/>
                <w:bCs/>
                <w:kern w:val="0"/>
                <w:sz w:val="22"/>
              </w:rPr>
            </w:pPr>
            <w:r>
              <w:rPr>
                <w:rFonts w:hint="eastAsia" w:ascii="仿宋_GB2312" w:hAnsi="Arial" w:cs="Arial"/>
                <w:b/>
                <w:bCs/>
                <w:kern w:val="0"/>
                <w:sz w:val="22"/>
              </w:rPr>
              <w:t>园林水果</w:t>
            </w:r>
          </w:p>
        </w:tc>
        <w:tc>
          <w:tcPr>
            <w:tcW w:w="1019" w:type="dxa"/>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15.88</w:t>
            </w:r>
          </w:p>
        </w:tc>
        <w:tc>
          <w:tcPr>
            <w:tcW w:w="1536" w:type="dxa"/>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10</w:t>
            </w:r>
            <w:r>
              <w:rPr>
                <w:rFonts w:hint="eastAsia" w:ascii="仿宋_GB2312" w:hAnsi="~" w:cs="Arial"/>
                <w:kern w:val="0"/>
                <w:sz w:val="22"/>
              </w:rPr>
              <w:t>～</w:t>
            </w:r>
            <w:r>
              <w:rPr>
                <w:rFonts w:hint="eastAsia" w:ascii="仿宋_GB2312" w:hAnsi="Arial" w:cs="Arial"/>
                <w:kern w:val="0"/>
                <w:sz w:val="22"/>
              </w:rPr>
              <w:t>12</w:t>
            </w:r>
          </w:p>
        </w:tc>
        <w:tc>
          <w:tcPr>
            <w:tcW w:w="1659" w:type="dxa"/>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27.22</w:t>
            </w:r>
          </w:p>
        </w:tc>
        <w:tc>
          <w:tcPr>
            <w:tcW w:w="1620" w:type="dxa"/>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32.66</w:t>
            </w:r>
          </w:p>
        </w:tc>
      </w:tr>
      <w:tr>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PrEx>
        <w:trPr>
          <w:jc w:val="center"/>
        </w:trPr>
        <w:tc>
          <w:tcPr>
            <w:tcW w:w="704" w:type="dxa"/>
            <w:vMerge w:val="continue"/>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left"/>
              <w:rPr>
                <w:rFonts w:ascii="仿宋_GB2312" w:hAnsi="Arial" w:cs="Arial"/>
                <w:b/>
                <w:bCs/>
                <w:kern w:val="0"/>
                <w:sz w:val="22"/>
              </w:rPr>
            </w:pPr>
          </w:p>
        </w:tc>
        <w:tc>
          <w:tcPr>
            <w:tcW w:w="1843" w:type="dxa"/>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center"/>
              <w:rPr>
                <w:rFonts w:ascii="仿宋_GB2312" w:hAnsi="Arial" w:cs="Arial"/>
                <w:b/>
                <w:bCs/>
                <w:kern w:val="0"/>
                <w:sz w:val="22"/>
              </w:rPr>
            </w:pPr>
            <w:r>
              <w:rPr>
                <w:rFonts w:hint="eastAsia" w:ascii="仿宋_GB2312" w:hAnsi="Arial" w:cs="Arial"/>
                <w:b/>
                <w:bCs/>
                <w:kern w:val="0"/>
                <w:sz w:val="22"/>
              </w:rPr>
              <w:t>食用坚果</w:t>
            </w:r>
          </w:p>
        </w:tc>
        <w:tc>
          <w:tcPr>
            <w:tcW w:w="1019" w:type="dxa"/>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0.08</w:t>
            </w:r>
          </w:p>
        </w:tc>
        <w:tc>
          <w:tcPr>
            <w:tcW w:w="1536" w:type="dxa"/>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4</w:t>
            </w:r>
            <w:r>
              <w:rPr>
                <w:rFonts w:hint="eastAsia" w:ascii="仿宋_GB2312" w:hAnsi="~" w:cs="Arial"/>
                <w:kern w:val="0"/>
                <w:sz w:val="22"/>
              </w:rPr>
              <w:t>～</w:t>
            </w:r>
            <w:r>
              <w:rPr>
                <w:rFonts w:hint="eastAsia" w:ascii="仿宋_GB2312" w:hAnsi="Arial" w:cs="Arial"/>
                <w:kern w:val="0"/>
                <w:sz w:val="22"/>
              </w:rPr>
              <w:t>6</w:t>
            </w:r>
          </w:p>
        </w:tc>
        <w:tc>
          <w:tcPr>
            <w:tcW w:w="1659" w:type="dxa"/>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0.05</w:t>
            </w:r>
          </w:p>
        </w:tc>
        <w:tc>
          <w:tcPr>
            <w:tcW w:w="1620" w:type="dxa"/>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0.08</w:t>
            </w:r>
          </w:p>
        </w:tc>
      </w:tr>
      <w:tr>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04" w:type="dxa"/>
            <w:vMerge w:val="continue"/>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b/>
                <w:bCs/>
                <w:kern w:val="0"/>
                <w:sz w:val="22"/>
              </w:rPr>
            </w:pPr>
          </w:p>
        </w:tc>
        <w:tc>
          <w:tcPr>
            <w:tcW w:w="1843" w:type="dxa"/>
            <w:tcBorders>
              <w:left w:val="single" w:color="7F7F7F" w:sz="4" w:space="0"/>
              <w:right w:val="single" w:color="7F7F7F" w:sz="4" w:space="0"/>
            </w:tcBorders>
          </w:tcPr>
          <w:p>
            <w:pPr>
              <w:widowControl/>
              <w:spacing w:before="120" w:after="120" w:line="288" w:lineRule="auto"/>
              <w:ind w:firstLine="0" w:firstLineChars="0"/>
              <w:jc w:val="center"/>
              <w:rPr>
                <w:rFonts w:ascii="仿宋_GB2312" w:hAnsi="Arial" w:cs="Arial"/>
                <w:b/>
                <w:bCs/>
                <w:kern w:val="0"/>
                <w:sz w:val="22"/>
              </w:rPr>
            </w:pPr>
            <w:r>
              <w:rPr>
                <w:rFonts w:hint="eastAsia" w:ascii="仿宋_GB2312" w:hAnsi="Arial" w:cs="Arial"/>
                <w:b/>
                <w:bCs/>
                <w:kern w:val="0"/>
                <w:sz w:val="22"/>
              </w:rPr>
              <w:t>油料</w:t>
            </w:r>
          </w:p>
        </w:tc>
        <w:tc>
          <w:tcPr>
            <w:tcW w:w="1019" w:type="dxa"/>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2.23</w:t>
            </w:r>
          </w:p>
        </w:tc>
        <w:tc>
          <w:tcPr>
            <w:tcW w:w="1536" w:type="dxa"/>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7</w:t>
            </w:r>
            <w:r>
              <w:rPr>
                <w:rFonts w:hint="eastAsia" w:ascii="仿宋_GB2312" w:hAnsi="~" w:cs="Arial"/>
                <w:kern w:val="0"/>
                <w:sz w:val="22"/>
              </w:rPr>
              <w:t>～</w:t>
            </w:r>
            <w:r>
              <w:rPr>
                <w:rFonts w:hint="eastAsia" w:ascii="仿宋_GB2312" w:hAnsi="Arial" w:cs="Arial"/>
                <w:kern w:val="0"/>
                <w:sz w:val="22"/>
              </w:rPr>
              <w:t>9</w:t>
            </w:r>
          </w:p>
        </w:tc>
        <w:tc>
          <w:tcPr>
            <w:tcW w:w="1659" w:type="dxa"/>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2.68</w:t>
            </w:r>
          </w:p>
        </w:tc>
        <w:tc>
          <w:tcPr>
            <w:tcW w:w="1620" w:type="dxa"/>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3.44</w:t>
            </w:r>
          </w:p>
        </w:tc>
      </w:tr>
      <w:tr>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04" w:type="dxa"/>
            <w:vMerge w:val="continue"/>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left"/>
              <w:rPr>
                <w:rFonts w:ascii="仿宋_GB2312" w:hAnsi="Arial" w:cs="Arial"/>
                <w:b/>
                <w:bCs/>
                <w:kern w:val="0"/>
                <w:sz w:val="22"/>
              </w:rPr>
            </w:pPr>
          </w:p>
        </w:tc>
        <w:tc>
          <w:tcPr>
            <w:tcW w:w="1843" w:type="dxa"/>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center"/>
              <w:rPr>
                <w:rFonts w:ascii="仿宋_GB2312" w:hAnsi="Arial" w:cs="Arial"/>
                <w:b/>
                <w:bCs/>
                <w:kern w:val="0"/>
                <w:sz w:val="22"/>
              </w:rPr>
            </w:pPr>
            <w:r>
              <w:rPr>
                <w:rFonts w:hint="eastAsia" w:ascii="仿宋_GB2312" w:hAnsi="Arial" w:cs="Arial"/>
                <w:b/>
                <w:bCs/>
                <w:kern w:val="0"/>
                <w:sz w:val="22"/>
              </w:rPr>
              <w:t>中草药材</w:t>
            </w:r>
          </w:p>
        </w:tc>
        <w:tc>
          <w:tcPr>
            <w:tcW w:w="1019" w:type="dxa"/>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0.44</w:t>
            </w:r>
          </w:p>
        </w:tc>
        <w:tc>
          <w:tcPr>
            <w:tcW w:w="1536" w:type="dxa"/>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5</w:t>
            </w:r>
            <w:r>
              <w:rPr>
                <w:rFonts w:hint="eastAsia" w:ascii="仿宋_GB2312" w:hAnsi="~" w:cs="Arial"/>
                <w:kern w:val="0"/>
                <w:sz w:val="22"/>
              </w:rPr>
              <w:t>～</w:t>
            </w:r>
            <w:r>
              <w:rPr>
                <w:rFonts w:hint="eastAsia" w:ascii="仿宋_GB2312" w:hAnsi="Arial" w:cs="Arial"/>
                <w:kern w:val="0"/>
                <w:sz w:val="22"/>
              </w:rPr>
              <w:t>6</w:t>
            </w:r>
          </w:p>
        </w:tc>
        <w:tc>
          <w:tcPr>
            <w:tcW w:w="1659" w:type="dxa"/>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0.38</w:t>
            </w:r>
          </w:p>
        </w:tc>
        <w:tc>
          <w:tcPr>
            <w:tcW w:w="1620" w:type="dxa"/>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0.46</w:t>
            </w:r>
          </w:p>
        </w:tc>
      </w:tr>
      <w:tr>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04" w:type="dxa"/>
            <w:vMerge w:val="continue"/>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b/>
                <w:bCs/>
                <w:kern w:val="0"/>
                <w:sz w:val="22"/>
              </w:rPr>
            </w:pPr>
          </w:p>
        </w:tc>
        <w:tc>
          <w:tcPr>
            <w:tcW w:w="1843" w:type="dxa"/>
            <w:tcBorders>
              <w:left w:val="single" w:color="7F7F7F" w:sz="4" w:space="0"/>
              <w:right w:val="single" w:color="7F7F7F" w:sz="4" w:space="0"/>
            </w:tcBorders>
          </w:tcPr>
          <w:p>
            <w:pPr>
              <w:widowControl/>
              <w:spacing w:before="120" w:after="120" w:line="288" w:lineRule="auto"/>
              <w:ind w:firstLine="0" w:firstLineChars="0"/>
              <w:jc w:val="center"/>
              <w:rPr>
                <w:rFonts w:ascii="仿宋_GB2312" w:hAnsi="Arial" w:cs="Arial"/>
                <w:b/>
                <w:bCs/>
                <w:kern w:val="0"/>
                <w:sz w:val="22"/>
              </w:rPr>
            </w:pPr>
            <w:r>
              <w:rPr>
                <w:rFonts w:hint="eastAsia" w:ascii="仿宋_GB2312" w:hAnsi="Arial" w:cs="Arial"/>
                <w:b/>
                <w:bCs/>
                <w:kern w:val="0"/>
                <w:sz w:val="22"/>
              </w:rPr>
              <w:t>蔬菜(含菜用瓜)</w:t>
            </w:r>
          </w:p>
        </w:tc>
        <w:tc>
          <w:tcPr>
            <w:tcW w:w="1019" w:type="dxa"/>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27.73</w:t>
            </w:r>
          </w:p>
        </w:tc>
        <w:tc>
          <w:tcPr>
            <w:tcW w:w="1536" w:type="dxa"/>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12</w:t>
            </w:r>
            <w:r>
              <w:rPr>
                <w:rFonts w:hint="eastAsia" w:ascii="仿宋_GB2312" w:hAnsi="~" w:cs="Arial"/>
                <w:kern w:val="0"/>
                <w:sz w:val="22"/>
              </w:rPr>
              <w:t>～</w:t>
            </w:r>
            <w:r>
              <w:rPr>
                <w:rFonts w:hint="eastAsia" w:ascii="仿宋_GB2312" w:hAnsi="Arial" w:cs="Arial"/>
                <w:kern w:val="0"/>
                <w:sz w:val="22"/>
              </w:rPr>
              <w:t>15</w:t>
            </w:r>
          </w:p>
        </w:tc>
        <w:tc>
          <w:tcPr>
            <w:tcW w:w="1659" w:type="dxa"/>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57.04</w:t>
            </w:r>
          </w:p>
        </w:tc>
        <w:tc>
          <w:tcPr>
            <w:tcW w:w="1620" w:type="dxa"/>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71.30</w:t>
            </w:r>
          </w:p>
        </w:tc>
      </w:tr>
      <w:tr>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PrEx>
        <w:trPr>
          <w:jc w:val="center"/>
        </w:trPr>
        <w:tc>
          <w:tcPr>
            <w:tcW w:w="704" w:type="dxa"/>
            <w:vMerge w:val="continue"/>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left"/>
              <w:rPr>
                <w:rFonts w:ascii="仿宋_GB2312" w:hAnsi="Arial" w:cs="Arial"/>
                <w:b/>
                <w:bCs/>
                <w:kern w:val="0"/>
                <w:sz w:val="22"/>
              </w:rPr>
            </w:pPr>
          </w:p>
        </w:tc>
        <w:tc>
          <w:tcPr>
            <w:tcW w:w="1843" w:type="dxa"/>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center"/>
              <w:rPr>
                <w:rFonts w:ascii="仿宋_GB2312" w:hAnsi="Arial" w:cs="Arial"/>
                <w:b/>
                <w:bCs/>
                <w:kern w:val="0"/>
                <w:sz w:val="22"/>
              </w:rPr>
            </w:pPr>
            <w:r>
              <w:rPr>
                <w:rFonts w:hint="eastAsia" w:ascii="仿宋_GB2312" w:hAnsi="Arial" w:cs="Arial"/>
                <w:b/>
                <w:bCs/>
                <w:kern w:val="0"/>
                <w:sz w:val="22"/>
              </w:rPr>
              <w:t>瓜果(果用瓜)</w:t>
            </w:r>
          </w:p>
        </w:tc>
        <w:tc>
          <w:tcPr>
            <w:tcW w:w="1019" w:type="dxa"/>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0.8</w:t>
            </w:r>
          </w:p>
        </w:tc>
        <w:tc>
          <w:tcPr>
            <w:tcW w:w="1536" w:type="dxa"/>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10</w:t>
            </w:r>
            <w:r>
              <w:rPr>
                <w:rFonts w:hint="eastAsia" w:ascii="仿宋_GB2312" w:hAnsi="~" w:cs="Arial"/>
                <w:kern w:val="0"/>
                <w:sz w:val="22"/>
              </w:rPr>
              <w:t>～</w:t>
            </w:r>
            <w:r>
              <w:rPr>
                <w:rFonts w:hint="eastAsia" w:ascii="仿宋_GB2312" w:hAnsi="Arial" w:cs="Arial"/>
                <w:kern w:val="0"/>
                <w:sz w:val="22"/>
              </w:rPr>
              <w:t>12</w:t>
            </w:r>
          </w:p>
        </w:tc>
        <w:tc>
          <w:tcPr>
            <w:tcW w:w="1659" w:type="dxa"/>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1.37</w:t>
            </w:r>
          </w:p>
        </w:tc>
        <w:tc>
          <w:tcPr>
            <w:tcW w:w="1620" w:type="dxa"/>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1.65</w:t>
            </w:r>
          </w:p>
        </w:tc>
      </w:tr>
      <w:tr>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04" w:type="dxa"/>
            <w:vMerge w:val="continue"/>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b/>
                <w:bCs/>
                <w:kern w:val="0"/>
                <w:sz w:val="22"/>
              </w:rPr>
            </w:pPr>
          </w:p>
        </w:tc>
        <w:tc>
          <w:tcPr>
            <w:tcW w:w="1843" w:type="dxa"/>
            <w:tcBorders>
              <w:left w:val="single" w:color="7F7F7F" w:sz="4" w:space="0"/>
              <w:right w:val="single" w:color="7F7F7F" w:sz="4" w:space="0"/>
            </w:tcBorders>
          </w:tcPr>
          <w:p>
            <w:pPr>
              <w:widowControl/>
              <w:spacing w:before="120" w:after="120" w:line="288" w:lineRule="auto"/>
              <w:ind w:firstLine="0" w:firstLineChars="0"/>
              <w:jc w:val="center"/>
              <w:rPr>
                <w:rFonts w:ascii="仿宋_GB2312" w:hAnsi="Arial" w:cs="Arial"/>
                <w:b/>
                <w:bCs/>
                <w:kern w:val="0"/>
                <w:sz w:val="22"/>
              </w:rPr>
            </w:pPr>
            <w:r>
              <w:rPr>
                <w:rFonts w:hint="eastAsia" w:ascii="仿宋_GB2312" w:hAnsi="Arial" w:cs="Arial"/>
                <w:b/>
                <w:bCs/>
                <w:kern w:val="0"/>
                <w:sz w:val="22"/>
              </w:rPr>
              <w:t>花卉</w:t>
            </w:r>
          </w:p>
        </w:tc>
        <w:tc>
          <w:tcPr>
            <w:tcW w:w="1019" w:type="dxa"/>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0.11</w:t>
            </w:r>
          </w:p>
        </w:tc>
        <w:tc>
          <w:tcPr>
            <w:tcW w:w="1536" w:type="dxa"/>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3</w:t>
            </w:r>
            <w:r>
              <w:rPr>
                <w:rFonts w:hint="eastAsia" w:ascii="仿宋_GB2312" w:hAnsi="~" w:cs="Arial"/>
                <w:kern w:val="0"/>
                <w:sz w:val="22"/>
              </w:rPr>
              <w:t>～</w:t>
            </w:r>
            <w:r>
              <w:rPr>
                <w:rFonts w:hint="eastAsia" w:ascii="仿宋_GB2312" w:hAnsi="Arial" w:cs="Arial"/>
                <w:kern w:val="0"/>
                <w:sz w:val="22"/>
              </w:rPr>
              <w:t>5</w:t>
            </w:r>
          </w:p>
        </w:tc>
        <w:tc>
          <w:tcPr>
            <w:tcW w:w="1659" w:type="dxa"/>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0.06</w:t>
            </w:r>
          </w:p>
        </w:tc>
        <w:tc>
          <w:tcPr>
            <w:tcW w:w="1620" w:type="dxa"/>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0.10</w:t>
            </w:r>
          </w:p>
        </w:tc>
      </w:tr>
      <w:tr>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02" w:type="dxa"/>
            <w:gridSpan w:val="4"/>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1325" w:firstLineChars="600"/>
              <w:jc w:val="left"/>
              <w:rPr>
                <w:rFonts w:ascii="仿宋_GB2312" w:hAnsi="Arial" w:cs="Arial"/>
                <w:b/>
                <w:bCs/>
                <w:kern w:val="0"/>
                <w:sz w:val="22"/>
              </w:rPr>
            </w:pPr>
            <w:r>
              <w:rPr>
                <w:rFonts w:hint="eastAsia" w:ascii="仿宋_GB2312" w:hAnsi="Arial" w:cs="Arial"/>
                <w:b/>
                <w:bCs/>
                <w:kern w:val="0"/>
                <w:sz w:val="22"/>
              </w:rPr>
              <w:t>农作物合计</w:t>
            </w:r>
          </w:p>
        </w:tc>
        <w:tc>
          <w:tcPr>
            <w:tcW w:w="1659" w:type="dxa"/>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109.53</w:t>
            </w:r>
          </w:p>
        </w:tc>
        <w:tc>
          <w:tcPr>
            <w:tcW w:w="1620" w:type="dxa"/>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133.31</w:t>
            </w:r>
          </w:p>
        </w:tc>
      </w:tr>
      <w:tr>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04" w:type="dxa"/>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b/>
                <w:bCs/>
                <w:kern w:val="0"/>
                <w:sz w:val="22"/>
              </w:rPr>
            </w:pPr>
            <w:r>
              <w:rPr>
                <w:rFonts w:hint="eastAsia" w:ascii="仿宋_GB2312" w:hAnsi="Arial" w:cs="Arial"/>
                <w:b/>
                <w:bCs/>
                <w:kern w:val="0"/>
                <w:sz w:val="22"/>
              </w:rPr>
              <w:t>林地</w:t>
            </w:r>
          </w:p>
        </w:tc>
        <w:tc>
          <w:tcPr>
            <w:tcW w:w="1843" w:type="dxa"/>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w:t>
            </w:r>
          </w:p>
        </w:tc>
        <w:tc>
          <w:tcPr>
            <w:tcW w:w="1019" w:type="dxa"/>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b/>
                <w:bCs/>
                <w:kern w:val="0"/>
                <w:sz w:val="22"/>
              </w:rPr>
              <w:t>174.31</w:t>
            </w:r>
          </w:p>
        </w:tc>
        <w:tc>
          <w:tcPr>
            <w:tcW w:w="1536" w:type="dxa"/>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2</w:t>
            </w:r>
            <w:r>
              <w:rPr>
                <w:rFonts w:hint="eastAsia" w:ascii="仿宋_GB2312" w:hAnsi="~" w:cs="Arial"/>
                <w:kern w:val="0"/>
                <w:sz w:val="22"/>
              </w:rPr>
              <w:t>～</w:t>
            </w:r>
            <w:r>
              <w:rPr>
                <w:rFonts w:hint="eastAsia" w:ascii="仿宋_GB2312" w:hAnsi="Arial" w:cs="Arial"/>
                <w:kern w:val="0"/>
                <w:sz w:val="22"/>
              </w:rPr>
              <w:t>4</w:t>
            </w:r>
          </w:p>
        </w:tc>
        <w:tc>
          <w:tcPr>
            <w:tcW w:w="1659" w:type="dxa"/>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59.76</w:t>
            </w:r>
          </w:p>
        </w:tc>
        <w:tc>
          <w:tcPr>
            <w:tcW w:w="1620" w:type="dxa"/>
            <w:tcBorders>
              <w:left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119.52</w:t>
            </w:r>
          </w:p>
        </w:tc>
      </w:tr>
      <w:tr>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PrEx>
        <w:trPr>
          <w:jc w:val="center"/>
        </w:trPr>
        <w:tc>
          <w:tcPr>
            <w:tcW w:w="704" w:type="dxa"/>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left"/>
              <w:rPr>
                <w:rFonts w:ascii="仿宋_GB2312" w:hAnsi="Arial" w:cs="Arial"/>
                <w:b/>
                <w:bCs/>
                <w:kern w:val="0"/>
                <w:sz w:val="22"/>
              </w:rPr>
            </w:pPr>
            <w:r>
              <w:rPr>
                <w:rFonts w:hint="eastAsia" w:ascii="仿宋_GB2312" w:hAnsi="Arial" w:cs="Arial"/>
                <w:b/>
                <w:bCs/>
                <w:kern w:val="0"/>
                <w:sz w:val="22"/>
              </w:rPr>
              <w:t>合计</w:t>
            </w:r>
          </w:p>
        </w:tc>
        <w:tc>
          <w:tcPr>
            <w:tcW w:w="1843" w:type="dxa"/>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w:t>
            </w:r>
          </w:p>
        </w:tc>
        <w:tc>
          <w:tcPr>
            <w:tcW w:w="1019" w:type="dxa"/>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b/>
                <w:bCs/>
                <w:kern w:val="0"/>
                <w:sz w:val="22"/>
              </w:rPr>
              <w:t>245.44</w:t>
            </w:r>
          </w:p>
        </w:tc>
        <w:tc>
          <w:tcPr>
            <w:tcW w:w="1536" w:type="dxa"/>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p>
        </w:tc>
        <w:tc>
          <w:tcPr>
            <w:tcW w:w="1659" w:type="dxa"/>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169.29</w:t>
            </w:r>
          </w:p>
        </w:tc>
        <w:tc>
          <w:tcPr>
            <w:tcW w:w="1620" w:type="dxa"/>
            <w:tcBorders>
              <w:top w:val="single" w:color="7F7F7F" w:sz="4" w:space="0"/>
              <w:left w:val="single" w:color="7F7F7F" w:sz="4" w:space="0"/>
              <w:bottom w:val="single" w:color="7F7F7F" w:sz="4" w:space="0"/>
              <w:right w:val="single" w:color="7F7F7F" w:sz="4" w:space="0"/>
            </w:tcBorders>
          </w:tcPr>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252.83</w:t>
            </w:r>
          </w:p>
        </w:tc>
      </w:tr>
    </w:tbl>
    <w:p>
      <w:pPr>
        <w:widowControl/>
        <w:spacing w:before="120" w:after="120" w:line="288" w:lineRule="auto"/>
        <w:ind w:firstLine="0" w:firstLineChars="0"/>
        <w:jc w:val="left"/>
        <w:rPr>
          <w:rFonts w:ascii="仿宋_GB2312" w:hAnsi="Arial" w:cs="Arial"/>
          <w:kern w:val="0"/>
          <w:sz w:val="22"/>
        </w:rPr>
      </w:pPr>
      <w:r>
        <w:rPr>
          <w:rFonts w:hint="eastAsia" w:ascii="仿宋_GB2312" w:hAnsi="Arial" w:cs="Arial"/>
          <w:kern w:val="0"/>
          <w:sz w:val="22"/>
        </w:rPr>
        <w:t>注：林地面积为闽清县2024年官方统计数据（174.31万亩），测算范围不含林下经济作物与耕地转化的林地类型。</w:t>
      </w:r>
    </w:p>
    <w:p>
      <w:pPr>
        <w:ind w:firstLine="600"/>
        <w:rPr>
          <w:rStyle w:val="31"/>
          <w:rFonts w:ascii="仿宋_GB2312" w:hAnsiTheme="minorEastAsia"/>
          <w:color w:val="auto"/>
          <w:szCs w:val="30"/>
        </w:rPr>
      </w:pPr>
      <w:r>
        <w:rPr>
          <w:rFonts w:hint="eastAsia" w:ascii="仿宋_GB2312"/>
        </w:rPr>
        <w:t>畜禽猪当量按照国家指南框架执行，以存栏生猪年氮排泄量作为1个猪当量基准，明确各类畜禽折算系数，作为县域评估、项目环评审批重要依据。规划期全县畜禽养殖总当量控制在45.85</w:t>
      </w:r>
      <w:r>
        <w:rPr>
          <w:rFonts w:hint="eastAsia" w:ascii="仿宋_GB2312"/>
        </w:rPr>
        <w:noBreakHyphen/>
      </w:r>
      <w:r>
        <w:rPr>
          <w:rFonts w:hint="eastAsia" w:ascii="仿宋_GB2312"/>
        </w:rPr>
        <w:t>80.85万猪当量，占保守理论承载力的27.08%</w:t>
      </w:r>
      <w:r>
        <w:rPr>
          <w:rFonts w:hint="eastAsia" w:ascii="仿宋_GB2312"/>
        </w:rPr>
        <w:noBreakHyphen/>
      </w:r>
      <w:r>
        <w:rPr>
          <w:rFonts w:hint="eastAsia" w:ascii="仿宋_GB2312"/>
        </w:rPr>
        <w:t>47.75%，处于安全阈值区间，指标留有调整冗余，各类畜禽规模可在总量红线内动态优化。</w:t>
      </w:r>
    </w:p>
    <w:tbl>
      <w:tblPr>
        <w:tblStyle w:val="51"/>
        <w:tblW w:w="8306" w:type="dxa"/>
        <w:tblInd w:w="0" w:type="dxa"/>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Layout w:type="fixed"/>
        <w:tblCellMar>
          <w:top w:w="0" w:type="dxa"/>
          <w:left w:w="108" w:type="dxa"/>
          <w:bottom w:w="0" w:type="dxa"/>
          <w:right w:w="108" w:type="dxa"/>
        </w:tblCellMar>
      </w:tblPr>
      <w:tblGrid>
        <w:gridCol w:w="2909"/>
        <w:gridCol w:w="1769"/>
        <w:gridCol w:w="1843"/>
        <w:gridCol w:w="1785"/>
      </w:tblGrid>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878" w:hRule="exact"/>
        </w:trPr>
        <w:tc>
          <w:tcPr>
            <w:tcW w:w="8306" w:type="dxa"/>
            <w:gridSpan w:val="4"/>
            <w:tcBorders>
              <w:left w:val="single" w:color="7E7E7E" w:themeColor="text1" w:themeTint="80" w:sz="4" w:space="0"/>
              <w:bottom w:val="nil"/>
              <w:right w:val="single" w:color="7E7E7E" w:themeColor="text1" w:themeTint="80" w:sz="4" w:space="0"/>
            </w:tcBorders>
            <w:vAlign w:val="center"/>
          </w:tcPr>
          <w:p>
            <w:pPr>
              <w:pStyle w:val="49"/>
              <w:adjustRightInd w:val="0"/>
              <w:snapToGrid w:val="0"/>
              <w:spacing w:before="156" w:beforeLines="50" w:after="156" w:afterLines="50"/>
              <w:jc w:val="center"/>
              <w:rPr>
                <w:rFonts w:hAnsiTheme="majorEastAsia"/>
                <w:b/>
                <w:bCs/>
              </w:rPr>
            </w:pPr>
            <w:r>
              <w:rPr>
                <w:rFonts w:hint="eastAsia" w:hAnsiTheme="majorEastAsia"/>
                <w:b/>
                <w:bCs/>
              </w:rPr>
              <w:t>专栏四 畜禽养殖猪当量规划</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1063" w:hRule="exact"/>
        </w:trPr>
        <w:tc>
          <w:tcPr>
            <w:tcW w:w="2909" w:type="dxa"/>
            <w:tcBorders>
              <w:left w:val="single" w:color="7E7E7E" w:themeColor="text1" w:themeTint="80" w:sz="4" w:space="0"/>
              <w:bottom w:val="nil"/>
            </w:tcBorders>
            <w:vAlign w:val="center"/>
          </w:tcPr>
          <w:p>
            <w:pPr>
              <w:ind w:firstLine="562"/>
              <w:rPr>
                <w:rFonts w:ascii="仿宋_GB2312"/>
                <w:b/>
                <w:bCs/>
                <w:sz w:val="28"/>
                <w:szCs w:val="28"/>
              </w:rPr>
            </w:pPr>
            <w:bookmarkStart w:id="25" w:name="OLE_LINK5"/>
            <w:r>
              <w:rPr>
                <w:rFonts w:ascii="仿宋_GB2312"/>
                <w:b/>
                <w:bCs/>
                <w:sz w:val="28"/>
                <w:szCs w:val="28"/>
              </w:rPr>
              <w:t>畜禽种类</w:t>
            </w:r>
          </w:p>
        </w:tc>
        <w:tc>
          <w:tcPr>
            <w:tcW w:w="1769" w:type="dxa"/>
            <w:tcBorders>
              <w:bottom w:val="nil"/>
            </w:tcBorders>
            <w:vAlign w:val="center"/>
          </w:tcPr>
          <w:p>
            <w:pPr>
              <w:ind w:firstLine="0" w:firstLineChars="0"/>
              <w:jc w:val="left"/>
              <w:rPr>
                <w:rFonts w:ascii="仿宋_GB2312"/>
                <w:b/>
                <w:bCs/>
                <w:sz w:val="28"/>
                <w:szCs w:val="28"/>
              </w:rPr>
            </w:pPr>
            <w:r>
              <w:rPr>
                <w:rFonts w:ascii="仿宋_GB2312"/>
                <w:sz w:val="28"/>
                <w:szCs w:val="28"/>
              </w:rPr>
              <w:t>2030年</w:t>
            </w:r>
          </w:p>
          <w:p>
            <w:pPr>
              <w:ind w:firstLine="0" w:firstLineChars="0"/>
              <w:jc w:val="left"/>
              <w:rPr>
                <w:rFonts w:ascii="仿宋_GB2312"/>
                <w:sz w:val="28"/>
                <w:szCs w:val="28"/>
              </w:rPr>
            </w:pPr>
            <w:r>
              <w:rPr>
                <w:rFonts w:ascii="仿宋_GB2312"/>
                <w:sz w:val="28"/>
                <w:szCs w:val="28"/>
              </w:rPr>
              <w:t>存栏目标</w:t>
            </w:r>
          </w:p>
        </w:tc>
        <w:tc>
          <w:tcPr>
            <w:tcW w:w="1843" w:type="dxa"/>
            <w:tcBorders>
              <w:bottom w:val="nil"/>
            </w:tcBorders>
            <w:vAlign w:val="center"/>
          </w:tcPr>
          <w:p>
            <w:pPr>
              <w:ind w:firstLine="0" w:firstLineChars="0"/>
              <w:jc w:val="left"/>
              <w:rPr>
                <w:rFonts w:ascii="仿宋_GB2312"/>
                <w:b/>
                <w:bCs/>
                <w:sz w:val="28"/>
                <w:szCs w:val="28"/>
              </w:rPr>
            </w:pPr>
            <w:r>
              <w:rPr>
                <w:rFonts w:ascii="仿宋_GB2312"/>
                <w:sz w:val="28"/>
                <w:szCs w:val="28"/>
              </w:rPr>
              <w:t>2030年</w:t>
            </w:r>
          </w:p>
          <w:p>
            <w:pPr>
              <w:ind w:firstLine="0" w:firstLineChars="0"/>
              <w:jc w:val="left"/>
              <w:rPr>
                <w:rFonts w:ascii="仿宋_GB2312"/>
                <w:sz w:val="28"/>
                <w:szCs w:val="28"/>
              </w:rPr>
            </w:pPr>
            <w:r>
              <w:rPr>
                <w:rFonts w:ascii="仿宋_GB2312"/>
                <w:sz w:val="28"/>
                <w:szCs w:val="28"/>
              </w:rPr>
              <w:t>出栏目标</w:t>
            </w:r>
          </w:p>
        </w:tc>
        <w:tc>
          <w:tcPr>
            <w:tcW w:w="1785" w:type="dxa"/>
            <w:tcBorders>
              <w:bottom w:val="nil"/>
              <w:right w:val="single" w:color="7E7E7E" w:themeColor="text1" w:themeTint="80" w:sz="4" w:space="0"/>
            </w:tcBorders>
            <w:vAlign w:val="center"/>
          </w:tcPr>
          <w:p>
            <w:pPr>
              <w:ind w:firstLine="0" w:firstLineChars="0"/>
              <w:jc w:val="left"/>
              <w:rPr>
                <w:rFonts w:ascii="仿宋_GB2312"/>
                <w:sz w:val="28"/>
                <w:szCs w:val="28"/>
              </w:rPr>
            </w:pPr>
            <w:r>
              <w:rPr>
                <w:rFonts w:ascii="仿宋_GB2312"/>
                <w:sz w:val="28"/>
                <w:szCs w:val="28"/>
              </w:rPr>
              <w:t>猪当量换算（万头）</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510" w:hRule="exact"/>
        </w:trPr>
        <w:tc>
          <w:tcPr>
            <w:tcW w:w="2909" w:type="dxa"/>
            <w:tcBorders>
              <w:left w:val="single" w:color="7E7E7E" w:themeColor="text1" w:themeTint="80" w:sz="4" w:space="0"/>
            </w:tcBorders>
          </w:tcPr>
          <w:p>
            <w:pPr>
              <w:ind w:firstLine="562"/>
              <w:rPr>
                <w:rFonts w:ascii="仿宋_GB2312"/>
                <w:b/>
                <w:bCs/>
                <w:sz w:val="28"/>
                <w:szCs w:val="28"/>
              </w:rPr>
            </w:pPr>
            <w:r>
              <w:rPr>
                <w:rFonts w:ascii="仿宋_GB2312"/>
                <w:b/>
                <w:bCs/>
                <w:sz w:val="28"/>
                <w:szCs w:val="28"/>
              </w:rPr>
              <w:t>生猪（万头）</w:t>
            </w:r>
          </w:p>
        </w:tc>
        <w:tc>
          <w:tcPr>
            <w:tcW w:w="1769" w:type="dxa"/>
          </w:tcPr>
          <w:p>
            <w:pPr>
              <w:ind w:firstLine="560"/>
              <w:rPr>
                <w:rFonts w:ascii="仿宋_GB2312"/>
                <w:sz w:val="28"/>
                <w:szCs w:val="28"/>
              </w:rPr>
            </w:pPr>
            <w:r>
              <w:rPr>
                <w:rFonts w:ascii="仿宋_GB2312"/>
                <w:sz w:val="28"/>
                <w:szCs w:val="28"/>
              </w:rPr>
              <w:t>8～15</w:t>
            </w:r>
          </w:p>
        </w:tc>
        <w:tc>
          <w:tcPr>
            <w:tcW w:w="1843" w:type="dxa"/>
          </w:tcPr>
          <w:p>
            <w:pPr>
              <w:ind w:firstLine="560"/>
              <w:rPr>
                <w:rFonts w:ascii="仿宋_GB2312"/>
                <w:sz w:val="28"/>
                <w:szCs w:val="28"/>
              </w:rPr>
            </w:pPr>
            <w:r>
              <w:rPr>
                <w:rFonts w:ascii="仿宋_GB2312"/>
                <w:sz w:val="28"/>
                <w:szCs w:val="28"/>
              </w:rPr>
              <w:t>16～30</w:t>
            </w:r>
          </w:p>
        </w:tc>
        <w:tc>
          <w:tcPr>
            <w:tcW w:w="1785" w:type="dxa"/>
            <w:tcBorders>
              <w:right w:val="single" w:color="7E7E7E" w:themeColor="text1" w:themeTint="80" w:sz="4" w:space="0"/>
            </w:tcBorders>
          </w:tcPr>
          <w:p>
            <w:pPr>
              <w:ind w:firstLine="560"/>
              <w:jc w:val="left"/>
              <w:rPr>
                <w:rFonts w:ascii="仿宋_GB2312"/>
                <w:sz w:val="28"/>
                <w:szCs w:val="28"/>
              </w:rPr>
            </w:pPr>
            <w:r>
              <w:rPr>
                <w:rFonts w:ascii="仿宋_GB2312"/>
                <w:sz w:val="28"/>
                <w:szCs w:val="28"/>
              </w:rPr>
              <w:t>8～15</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510" w:hRule="exact"/>
        </w:trPr>
        <w:tc>
          <w:tcPr>
            <w:tcW w:w="2909" w:type="dxa"/>
            <w:tcBorders>
              <w:left w:val="single" w:color="7E7E7E" w:themeColor="text1" w:themeTint="80" w:sz="4" w:space="0"/>
            </w:tcBorders>
          </w:tcPr>
          <w:p>
            <w:pPr>
              <w:ind w:firstLine="562"/>
              <w:rPr>
                <w:rFonts w:ascii="仿宋_GB2312"/>
                <w:b/>
                <w:bCs/>
                <w:sz w:val="28"/>
                <w:szCs w:val="28"/>
              </w:rPr>
            </w:pPr>
            <w:r>
              <w:rPr>
                <w:rFonts w:ascii="仿宋_GB2312"/>
                <w:b/>
                <w:bCs/>
                <w:sz w:val="28"/>
                <w:szCs w:val="28"/>
              </w:rPr>
              <w:t>家禽（万羽）</w:t>
            </w:r>
          </w:p>
        </w:tc>
        <w:tc>
          <w:tcPr>
            <w:tcW w:w="1769" w:type="dxa"/>
          </w:tcPr>
          <w:p>
            <w:pPr>
              <w:ind w:firstLine="560"/>
              <w:rPr>
                <w:rFonts w:ascii="仿宋_GB2312"/>
                <w:sz w:val="28"/>
                <w:szCs w:val="28"/>
              </w:rPr>
            </w:pPr>
            <w:r>
              <w:rPr>
                <w:rFonts w:ascii="仿宋_GB2312"/>
                <w:sz w:val="28"/>
                <w:szCs w:val="28"/>
              </w:rPr>
              <w:t>900～1600</w:t>
            </w:r>
          </w:p>
        </w:tc>
        <w:tc>
          <w:tcPr>
            <w:tcW w:w="1843" w:type="dxa"/>
          </w:tcPr>
          <w:p>
            <w:pPr>
              <w:ind w:firstLine="560"/>
              <w:rPr>
                <w:rFonts w:ascii="仿宋_GB2312"/>
                <w:sz w:val="28"/>
                <w:szCs w:val="28"/>
              </w:rPr>
            </w:pPr>
            <w:r>
              <w:rPr>
                <w:rFonts w:ascii="仿宋_GB2312"/>
                <w:sz w:val="28"/>
                <w:szCs w:val="28"/>
              </w:rPr>
              <w:t>800～2000</w:t>
            </w:r>
          </w:p>
        </w:tc>
        <w:tc>
          <w:tcPr>
            <w:tcW w:w="1785" w:type="dxa"/>
            <w:tcBorders>
              <w:right w:val="single" w:color="7E7E7E" w:themeColor="text1" w:themeTint="80" w:sz="4" w:space="0"/>
            </w:tcBorders>
          </w:tcPr>
          <w:p>
            <w:pPr>
              <w:ind w:firstLine="560"/>
              <w:jc w:val="left"/>
              <w:rPr>
                <w:rFonts w:ascii="仿宋_GB2312"/>
                <w:sz w:val="28"/>
                <w:szCs w:val="28"/>
              </w:rPr>
            </w:pPr>
            <w:r>
              <w:rPr>
                <w:rFonts w:ascii="仿宋_GB2312"/>
                <w:sz w:val="28"/>
                <w:szCs w:val="28"/>
              </w:rPr>
              <w:t>36～64</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510" w:hRule="exact"/>
        </w:trPr>
        <w:tc>
          <w:tcPr>
            <w:tcW w:w="2909" w:type="dxa"/>
            <w:tcBorders>
              <w:left w:val="single" w:color="7E7E7E" w:themeColor="text1" w:themeTint="80" w:sz="4" w:space="0"/>
            </w:tcBorders>
          </w:tcPr>
          <w:p>
            <w:pPr>
              <w:ind w:firstLine="562"/>
              <w:rPr>
                <w:rFonts w:ascii="仿宋_GB2312"/>
                <w:b/>
                <w:bCs/>
                <w:sz w:val="28"/>
                <w:szCs w:val="28"/>
              </w:rPr>
            </w:pPr>
            <w:r>
              <w:rPr>
                <w:rFonts w:ascii="仿宋_GB2312"/>
                <w:b/>
                <w:bCs/>
                <w:sz w:val="28"/>
                <w:szCs w:val="28"/>
              </w:rPr>
              <w:t>肉牛（万头）</w:t>
            </w:r>
          </w:p>
        </w:tc>
        <w:tc>
          <w:tcPr>
            <w:tcW w:w="1769" w:type="dxa"/>
          </w:tcPr>
          <w:p>
            <w:pPr>
              <w:ind w:firstLine="560"/>
              <w:rPr>
                <w:rFonts w:ascii="仿宋_GB2312"/>
                <w:sz w:val="28"/>
                <w:szCs w:val="28"/>
              </w:rPr>
            </w:pPr>
            <w:r>
              <w:rPr>
                <w:rFonts w:ascii="仿宋_GB2312"/>
                <w:sz w:val="28"/>
                <w:szCs w:val="28"/>
              </w:rPr>
              <w:t>0.5</w:t>
            </w:r>
          </w:p>
        </w:tc>
        <w:tc>
          <w:tcPr>
            <w:tcW w:w="1843" w:type="dxa"/>
          </w:tcPr>
          <w:p>
            <w:pPr>
              <w:ind w:firstLine="560"/>
              <w:rPr>
                <w:rFonts w:ascii="仿宋_GB2312"/>
                <w:sz w:val="28"/>
                <w:szCs w:val="28"/>
              </w:rPr>
            </w:pPr>
            <w:r>
              <w:rPr>
                <w:rFonts w:ascii="仿宋_GB2312"/>
                <w:sz w:val="28"/>
                <w:szCs w:val="28"/>
              </w:rPr>
              <w:t>0.3</w:t>
            </w:r>
          </w:p>
        </w:tc>
        <w:tc>
          <w:tcPr>
            <w:tcW w:w="1785" w:type="dxa"/>
            <w:tcBorders>
              <w:right w:val="single" w:color="7E7E7E" w:themeColor="text1" w:themeTint="80" w:sz="4" w:space="0"/>
            </w:tcBorders>
          </w:tcPr>
          <w:p>
            <w:pPr>
              <w:ind w:firstLine="560"/>
              <w:jc w:val="left"/>
              <w:rPr>
                <w:rFonts w:ascii="仿宋_GB2312"/>
                <w:sz w:val="28"/>
                <w:szCs w:val="28"/>
              </w:rPr>
            </w:pPr>
            <w:r>
              <w:rPr>
                <w:rFonts w:ascii="仿宋_GB2312"/>
                <w:sz w:val="28"/>
                <w:szCs w:val="28"/>
              </w:rPr>
              <w:t>1.67</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510" w:hRule="exact"/>
        </w:trPr>
        <w:tc>
          <w:tcPr>
            <w:tcW w:w="2909" w:type="dxa"/>
            <w:tcBorders>
              <w:left w:val="single" w:color="7E7E7E" w:themeColor="text1" w:themeTint="80" w:sz="4" w:space="0"/>
            </w:tcBorders>
          </w:tcPr>
          <w:p>
            <w:pPr>
              <w:ind w:firstLine="562"/>
              <w:rPr>
                <w:rFonts w:ascii="仿宋_GB2312"/>
                <w:b/>
                <w:bCs/>
                <w:sz w:val="28"/>
                <w:szCs w:val="28"/>
              </w:rPr>
            </w:pPr>
            <w:r>
              <w:rPr>
                <w:rFonts w:ascii="仿宋_GB2312"/>
                <w:b/>
                <w:bCs/>
                <w:sz w:val="28"/>
                <w:szCs w:val="28"/>
              </w:rPr>
              <w:t>羊（万只）</w:t>
            </w:r>
          </w:p>
        </w:tc>
        <w:tc>
          <w:tcPr>
            <w:tcW w:w="1769" w:type="dxa"/>
          </w:tcPr>
          <w:p>
            <w:pPr>
              <w:ind w:firstLine="560"/>
              <w:rPr>
                <w:rFonts w:ascii="仿宋_GB2312"/>
                <w:sz w:val="28"/>
                <w:szCs w:val="28"/>
              </w:rPr>
            </w:pPr>
            <w:r>
              <w:rPr>
                <w:rFonts w:ascii="仿宋_GB2312"/>
                <w:sz w:val="28"/>
                <w:szCs w:val="28"/>
              </w:rPr>
              <w:t>2</w:t>
            </w:r>
          </w:p>
        </w:tc>
        <w:tc>
          <w:tcPr>
            <w:tcW w:w="1843" w:type="dxa"/>
          </w:tcPr>
          <w:p>
            <w:pPr>
              <w:ind w:firstLine="560"/>
              <w:rPr>
                <w:rFonts w:ascii="仿宋_GB2312"/>
                <w:sz w:val="28"/>
                <w:szCs w:val="28"/>
              </w:rPr>
            </w:pPr>
            <w:r>
              <w:rPr>
                <w:rFonts w:ascii="仿宋_GB2312"/>
                <w:sz w:val="28"/>
                <w:szCs w:val="28"/>
              </w:rPr>
              <w:t>2</w:t>
            </w:r>
          </w:p>
        </w:tc>
        <w:tc>
          <w:tcPr>
            <w:tcW w:w="1785" w:type="dxa"/>
            <w:tcBorders>
              <w:right w:val="single" w:color="7E7E7E" w:themeColor="text1" w:themeTint="80" w:sz="4" w:space="0"/>
            </w:tcBorders>
          </w:tcPr>
          <w:p>
            <w:pPr>
              <w:ind w:firstLine="560"/>
              <w:jc w:val="left"/>
              <w:rPr>
                <w:rFonts w:ascii="仿宋_GB2312"/>
                <w:sz w:val="28"/>
                <w:szCs w:val="28"/>
              </w:rPr>
            </w:pPr>
            <w:r>
              <w:rPr>
                <w:rFonts w:ascii="仿宋_GB2312"/>
                <w:sz w:val="28"/>
                <w:szCs w:val="28"/>
              </w:rPr>
              <w:t>0.08</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510" w:hRule="exact"/>
        </w:trPr>
        <w:tc>
          <w:tcPr>
            <w:tcW w:w="2909" w:type="dxa"/>
            <w:tcBorders>
              <w:left w:val="single" w:color="7E7E7E" w:themeColor="text1" w:themeTint="80" w:sz="4" w:space="0"/>
            </w:tcBorders>
          </w:tcPr>
          <w:p>
            <w:pPr>
              <w:ind w:firstLine="562"/>
              <w:rPr>
                <w:rFonts w:ascii="仿宋_GB2312"/>
                <w:b/>
                <w:bCs/>
                <w:sz w:val="28"/>
                <w:szCs w:val="28"/>
              </w:rPr>
            </w:pPr>
            <w:r>
              <w:rPr>
                <w:rFonts w:ascii="仿宋_GB2312"/>
                <w:b/>
                <w:bCs/>
                <w:sz w:val="28"/>
                <w:szCs w:val="28"/>
              </w:rPr>
              <w:t>兔（万只）</w:t>
            </w:r>
          </w:p>
        </w:tc>
        <w:tc>
          <w:tcPr>
            <w:tcW w:w="1769" w:type="dxa"/>
          </w:tcPr>
          <w:p>
            <w:pPr>
              <w:ind w:firstLine="560"/>
              <w:rPr>
                <w:rFonts w:ascii="仿宋_GB2312"/>
                <w:sz w:val="28"/>
                <w:szCs w:val="28"/>
              </w:rPr>
            </w:pPr>
            <w:r>
              <w:rPr>
                <w:rFonts w:ascii="仿宋_GB2312"/>
                <w:sz w:val="28"/>
                <w:szCs w:val="28"/>
              </w:rPr>
              <w:t>3</w:t>
            </w:r>
          </w:p>
        </w:tc>
        <w:tc>
          <w:tcPr>
            <w:tcW w:w="1843" w:type="dxa"/>
          </w:tcPr>
          <w:p>
            <w:pPr>
              <w:ind w:firstLine="560"/>
              <w:rPr>
                <w:rFonts w:ascii="仿宋_GB2312"/>
                <w:sz w:val="28"/>
                <w:szCs w:val="28"/>
              </w:rPr>
            </w:pPr>
            <w:r>
              <w:rPr>
                <w:rFonts w:ascii="仿宋_GB2312"/>
                <w:sz w:val="28"/>
                <w:szCs w:val="28"/>
              </w:rPr>
              <w:t>5</w:t>
            </w:r>
          </w:p>
        </w:tc>
        <w:tc>
          <w:tcPr>
            <w:tcW w:w="1785" w:type="dxa"/>
            <w:tcBorders>
              <w:right w:val="single" w:color="7E7E7E" w:themeColor="text1" w:themeTint="80" w:sz="4" w:space="0"/>
            </w:tcBorders>
          </w:tcPr>
          <w:p>
            <w:pPr>
              <w:ind w:firstLine="560"/>
              <w:jc w:val="left"/>
              <w:rPr>
                <w:rFonts w:ascii="仿宋_GB2312"/>
                <w:sz w:val="28"/>
                <w:szCs w:val="28"/>
              </w:rPr>
            </w:pPr>
            <w:r>
              <w:rPr>
                <w:rFonts w:ascii="仿宋_GB2312"/>
                <w:sz w:val="28"/>
                <w:szCs w:val="28"/>
              </w:rPr>
              <w:t>0.1</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783" w:hRule="exact"/>
        </w:trPr>
        <w:tc>
          <w:tcPr>
            <w:tcW w:w="2909" w:type="dxa"/>
            <w:tcBorders>
              <w:left w:val="single" w:color="7E7E7E" w:themeColor="text1" w:themeTint="80" w:sz="4" w:space="0"/>
            </w:tcBorders>
          </w:tcPr>
          <w:p>
            <w:pPr>
              <w:ind w:firstLine="562"/>
              <w:rPr>
                <w:rFonts w:ascii="仿宋_GB2312"/>
                <w:b/>
                <w:bCs/>
                <w:sz w:val="28"/>
                <w:szCs w:val="28"/>
              </w:rPr>
            </w:pPr>
            <w:r>
              <w:rPr>
                <w:rFonts w:ascii="仿宋_GB2312"/>
                <w:b/>
                <w:bCs/>
                <w:sz w:val="28"/>
                <w:szCs w:val="28"/>
              </w:rPr>
              <w:t>合计猪当量（万头）</w:t>
            </w:r>
          </w:p>
        </w:tc>
        <w:tc>
          <w:tcPr>
            <w:tcW w:w="1769" w:type="dxa"/>
          </w:tcPr>
          <w:p>
            <w:pPr>
              <w:ind w:firstLine="560"/>
              <w:jc w:val="left"/>
              <w:rPr>
                <w:rFonts w:ascii="仿宋_GB2312"/>
                <w:sz w:val="28"/>
                <w:szCs w:val="28"/>
              </w:rPr>
            </w:pPr>
            <w:r>
              <w:rPr>
                <w:rFonts w:ascii="仿宋_GB2312"/>
                <w:sz w:val="28"/>
                <w:szCs w:val="28"/>
              </w:rPr>
              <w:t>-</w:t>
            </w:r>
          </w:p>
        </w:tc>
        <w:tc>
          <w:tcPr>
            <w:tcW w:w="1843" w:type="dxa"/>
          </w:tcPr>
          <w:p>
            <w:pPr>
              <w:ind w:firstLine="560"/>
              <w:jc w:val="left"/>
              <w:rPr>
                <w:rFonts w:ascii="仿宋_GB2312"/>
                <w:sz w:val="28"/>
                <w:szCs w:val="28"/>
              </w:rPr>
            </w:pPr>
            <w:r>
              <w:rPr>
                <w:rFonts w:ascii="仿宋_GB2312"/>
                <w:sz w:val="28"/>
                <w:szCs w:val="28"/>
              </w:rPr>
              <w:t>-</w:t>
            </w:r>
          </w:p>
        </w:tc>
        <w:tc>
          <w:tcPr>
            <w:tcW w:w="1785" w:type="dxa"/>
            <w:tcBorders>
              <w:right w:val="single" w:color="7E7E7E" w:themeColor="text1" w:themeTint="80" w:sz="4" w:space="0"/>
            </w:tcBorders>
          </w:tcPr>
          <w:p>
            <w:pPr>
              <w:ind w:firstLine="560"/>
              <w:jc w:val="left"/>
              <w:rPr>
                <w:rFonts w:ascii="仿宋_GB2312"/>
                <w:sz w:val="28"/>
                <w:szCs w:val="28"/>
              </w:rPr>
            </w:pPr>
            <w:bookmarkStart w:id="26" w:name="_Hlk205566586"/>
            <w:r>
              <w:rPr>
                <w:rFonts w:ascii="仿宋_GB2312"/>
                <w:sz w:val="28"/>
                <w:szCs w:val="28"/>
              </w:rPr>
              <w:t>45.85～80.85</w:t>
            </w:r>
            <w:bookmarkEnd w:id="26"/>
          </w:p>
        </w:tc>
      </w:tr>
      <w:bookmarkEnd w:id="25"/>
    </w:tbl>
    <w:p>
      <w:pPr>
        <w:ind w:firstLine="600"/>
        <w:rPr>
          <w:rStyle w:val="31"/>
          <w:rFonts w:ascii="仿宋_GB2312" w:hAnsiTheme="minorEastAsia"/>
          <w:color w:val="auto"/>
          <w:szCs w:val="30"/>
        </w:rPr>
      </w:pPr>
      <w:r>
        <w:rPr>
          <w:rFonts w:hint="eastAsia" w:ascii="仿宋_GB2312"/>
        </w:rPr>
        <w:t>从结构上看，家禽折算猪当量约占规划总当量80%，规划新增肉蛋鸡均采用规模化工厂化模式。通过配套有机肥加工设施，将鸡粪加工成商品有机肥向外县调运消纳，实现污水减排，有效减轻本县土地粪污消纳压力。</w:t>
      </w:r>
    </w:p>
    <w:tbl>
      <w:tblPr>
        <w:tblStyle w:val="51"/>
        <w:tblW w:w="8306"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1554"/>
        <w:gridCol w:w="2694"/>
        <w:gridCol w:w="278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8306" w:type="dxa"/>
            <w:gridSpan w:val="4"/>
            <w:tcBorders>
              <w:left w:val="single" w:color="auto" w:sz="4" w:space="0"/>
              <w:bottom w:val="nil"/>
              <w:right w:val="single" w:color="auto" w:sz="4" w:space="0"/>
            </w:tcBorders>
            <w:vAlign w:val="center"/>
          </w:tcPr>
          <w:p>
            <w:pPr>
              <w:pStyle w:val="49"/>
              <w:adjustRightInd w:val="0"/>
              <w:snapToGrid w:val="0"/>
              <w:spacing w:before="156" w:beforeLines="50" w:after="156" w:afterLines="50"/>
              <w:jc w:val="center"/>
              <w:rPr>
                <w:rFonts w:hAnsiTheme="majorEastAsia"/>
                <w:b/>
                <w:bCs/>
              </w:rPr>
            </w:pPr>
            <w:r>
              <w:rPr>
                <w:rFonts w:hint="eastAsia" w:hAnsiTheme="majorEastAsia"/>
                <w:b/>
                <w:bCs/>
              </w:rPr>
              <w:t>专栏五 综合评估模型：“效益-可持续性”矩阵</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1276" w:type="dxa"/>
            <w:tcBorders>
              <w:left w:val="single" w:color="auto" w:sz="4" w:space="0"/>
              <w:bottom w:val="nil"/>
            </w:tcBorders>
            <w:vAlign w:val="center"/>
          </w:tcPr>
          <w:p>
            <w:pPr>
              <w:pStyle w:val="49"/>
              <w:jc w:val="center"/>
              <w:rPr>
                <w:rFonts w:hint="eastAsia" w:ascii="仿宋_GB2312"/>
                <w:b/>
                <w:bCs/>
                <w:sz w:val="28"/>
                <w:szCs w:val="28"/>
              </w:rPr>
            </w:pPr>
            <w:r>
              <w:rPr>
                <w:rFonts w:hint="eastAsia" w:ascii="仿宋_GB2312"/>
                <w:b/>
                <w:bCs/>
                <w:sz w:val="28"/>
                <w:szCs w:val="28"/>
              </w:rPr>
              <w:t>评估</w:t>
            </w:r>
          </w:p>
          <w:p>
            <w:pPr>
              <w:pStyle w:val="49"/>
              <w:jc w:val="center"/>
              <w:rPr>
                <w:rFonts w:hint="eastAsia" w:ascii="仿宋_GB2312"/>
                <w:b/>
                <w:bCs/>
                <w:sz w:val="28"/>
                <w:szCs w:val="28"/>
              </w:rPr>
            </w:pPr>
            <w:r>
              <w:rPr>
                <w:rFonts w:hint="eastAsia" w:ascii="仿宋_GB2312"/>
                <w:b/>
                <w:bCs/>
                <w:sz w:val="28"/>
                <w:szCs w:val="28"/>
              </w:rPr>
              <w:t>维度</w:t>
            </w:r>
          </w:p>
        </w:tc>
        <w:tc>
          <w:tcPr>
            <w:tcW w:w="1554" w:type="dxa"/>
            <w:tcBorders>
              <w:bottom w:val="nil"/>
            </w:tcBorders>
            <w:vAlign w:val="center"/>
          </w:tcPr>
          <w:p>
            <w:pPr>
              <w:pStyle w:val="49"/>
              <w:jc w:val="center"/>
              <w:rPr>
                <w:rFonts w:hint="eastAsia" w:ascii="仿宋_GB2312"/>
                <w:sz w:val="28"/>
                <w:szCs w:val="28"/>
              </w:rPr>
            </w:pPr>
            <w:r>
              <w:rPr>
                <w:rFonts w:hint="eastAsia" w:ascii="仿宋_GB2312"/>
                <w:sz w:val="28"/>
                <w:szCs w:val="28"/>
              </w:rPr>
              <w:t>核心指标</w:t>
            </w:r>
          </w:p>
          <w:p>
            <w:pPr>
              <w:pStyle w:val="49"/>
              <w:jc w:val="center"/>
              <w:rPr>
                <w:rFonts w:hint="eastAsia" w:ascii="仿宋_GB2312"/>
                <w:sz w:val="28"/>
                <w:szCs w:val="28"/>
              </w:rPr>
            </w:pPr>
            <w:r>
              <w:rPr>
                <w:rFonts w:hint="eastAsia" w:ascii="仿宋_GB2312"/>
                <w:sz w:val="28"/>
                <w:szCs w:val="28"/>
              </w:rPr>
              <w:t>组合</w:t>
            </w:r>
          </w:p>
        </w:tc>
        <w:tc>
          <w:tcPr>
            <w:tcW w:w="2694" w:type="dxa"/>
            <w:tcBorders>
              <w:bottom w:val="nil"/>
            </w:tcBorders>
            <w:vAlign w:val="center"/>
          </w:tcPr>
          <w:p>
            <w:pPr>
              <w:pStyle w:val="49"/>
              <w:jc w:val="center"/>
              <w:rPr>
                <w:rFonts w:hint="eastAsia" w:ascii="仿宋_GB2312"/>
                <w:sz w:val="28"/>
                <w:szCs w:val="28"/>
              </w:rPr>
            </w:pPr>
            <w:r>
              <w:rPr>
                <w:rFonts w:hint="eastAsia" w:ascii="仿宋_GB2312"/>
                <w:sz w:val="28"/>
                <w:szCs w:val="28"/>
              </w:rPr>
              <w:t>数据表现</w:t>
            </w:r>
          </w:p>
          <w:p>
            <w:pPr>
              <w:pStyle w:val="49"/>
              <w:jc w:val="center"/>
              <w:rPr>
                <w:rFonts w:hint="eastAsia" w:ascii="仿宋_GB2312"/>
                <w:sz w:val="28"/>
                <w:szCs w:val="28"/>
              </w:rPr>
            </w:pPr>
            <w:r>
              <w:rPr>
                <w:rFonts w:hint="eastAsia" w:ascii="仿宋_GB2312"/>
                <w:sz w:val="28"/>
                <w:szCs w:val="28"/>
              </w:rPr>
              <w:t>（2025年）</w:t>
            </w:r>
          </w:p>
        </w:tc>
        <w:tc>
          <w:tcPr>
            <w:tcW w:w="2782" w:type="dxa"/>
            <w:tcBorders>
              <w:bottom w:val="nil"/>
              <w:right w:val="single" w:color="auto" w:sz="4" w:space="0"/>
            </w:tcBorders>
            <w:vAlign w:val="center"/>
          </w:tcPr>
          <w:p>
            <w:pPr>
              <w:pStyle w:val="49"/>
              <w:jc w:val="center"/>
              <w:rPr>
                <w:rFonts w:hint="eastAsia" w:ascii="仿宋_GB2312"/>
                <w:sz w:val="28"/>
                <w:szCs w:val="28"/>
              </w:rPr>
            </w:pPr>
            <w:r>
              <w:rPr>
                <w:rFonts w:hint="eastAsia" w:ascii="仿宋_GB2312"/>
                <w:sz w:val="28"/>
                <w:szCs w:val="28"/>
              </w:rPr>
              <w:t>潜在风险/机会</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tcBorders>
              <w:left w:val="single" w:color="auto" w:sz="4" w:space="0"/>
            </w:tcBorders>
            <w:vAlign w:val="center"/>
          </w:tcPr>
          <w:p>
            <w:pPr>
              <w:pStyle w:val="49"/>
              <w:jc w:val="center"/>
              <w:rPr>
                <w:rFonts w:hint="eastAsia" w:ascii="仿宋_GB2312"/>
                <w:b/>
                <w:bCs/>
                <w:sz w:val="28"/>
                <w:szCs w:val="28"/>
              </w:rPr>
            </w:pPr>
            <w:r>
              <w:rPr>
                <w:rFonts w:hint="eastAsia" w:ascii="仿宋_GB2312"/>
                <w:b/>
                <w:bCs/>
                <w:sz w:val="28"/>
                <w:szCs w:val="28"/>
              </w:rPr>
              <w:t>生产</w:t>
            </w:r>
          </w:p>
          <w:p>
            <w:pPr>
              <w:pStyle w:val="49"/>
              <w:jc w:val="center"/>
              <w:rPr>
                <w:rFonts w:hint="eastAsia" w:ascii="仿宋_GB2312"/>
                <w:b/>
                <w:bCs/>
                <w:sz w:val="28"/>
                <w:szCs w:val="28"/>
              </w:rPr>
            </w:pPr>
            <w:r>
              <w:rPr>
                <w:rFonts w:hint="eastAsia" w:ascii="仿宋_GB2312"/>
                <w:b/>
                <w:bCs/>
                <w:sz w:val="28"/>
                <w:szCs w:val="28"/>
              </w:rPr>
              <w:t>效益</w:t>
            </w:r>
          </w:p>
        </w:tc>
        <w:tc>
          <w:tcPr>
            <w:tcW w:w="1554" w:type="dxa"/>
            <w:vAlign w:val="center"/>
          </w:tcPr>
          <w:p>
            <w:pPr>
              <w:pStyle w:val="49"/>
              <w:jc w:val="left"/>
              <w:rPr>
                <w:rFonts w:hint="eastAsia" w:ascii="仿宋_GB2312"/>
                <w:sz w:val="28"/>
                <w:szCs w:val="28"/>
              </w:rPr>
            </w:pPr>
            <w:r>
              <w:rPr>
                <w:rFonts w:hint="eastAsia" w:ascii="仿宋_GB2312"/>
                <w:sz w:val="28"/>
                <w:szCs w:val="28"/>
              </w:rPr>
              <w:t>单产效率+结构占比+增速</w:t>
            </w:r>
          </w:p>
        </w:tc>
        <w:tc>
          <w:tcPr>
            <w:tcW w:w="2694" w:type="dxa"/>
            <w:vAlign w:val="center"/>
          </w:tcPr>
          <w:p>
            <w:pPr>
              <w:pStyle w:val="49"/>
              <w:rPr>
                <w:rFonts w:hint="eastAsia" w:ascii="仿宋_GB2312"/>
                <w:sz w:val="28"/>
                <w:szCs w:val="28"/>
              </w:rPr>
            </w:pPr>
            <w:r>
              <w:rPr>
                <w:rFonts w:hint="eastAsia" w:ascii="仿宋_GB2312"/>
                <w:sz w:val="28"/>
                <w:szCs w:val="28"/>
              </w:rPr>
              <w:t>生猪存栏综合单产0.19吨/头；禽蛋占肉蛋奶总产量比例达58.87%</w:t>
            </w:r>
          </w:p>
        </w:tc>
        <w:tc>
          <w:tcPr>
            <w:tcW w:w="2782" w:type="dxa"/>
            <w:tcBorders>
              <w:right w:val="single" w:color="auto" w:sz="4" w:space="0"/>
            </w:tcBorders>
            <w:vAlign w:val="center"/>
          </w:tcPr>
          <w:p>
            <w:pPr>
              <w:pStyle w:val="49"/>
              <w:jc w:val="left"/>
              <w:rPr>
                <w:rFonts w:hint="eastAsia" w:ascii="仿宋_GB2312"/>
                <w:sz w:val="28"/>
                <w:szCs w:val="28"/>
              </w:rPr>
            </w:pPr>
            <w:r>
              <w:rPr>
                <w:rFonts w:hint="eastAsia" w:ascii="仿宋_GB2312"/>
                <w:sz w:val="28"/>
                <w:szCs w:val="28"/>
              </w:rPr>
              <w:t>生猪综合单产效率表现优异，整体养殖效率处于行业较好水平；蛋鸡高效益品种拉动明显，但其它品种有待提升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75" w:hRule="atLeast"/>
          <w:jc w:val="center"/>
        </w:trPr>
        <w:tc>
          <w:tcPr>
            <w:tcW w:w="1276" w:type="dxa"/>
            <w:tcBorders>
              <w:left w:val="single" w:color="auto" w:sz="4" w:space="0"/>
            </w:tcBorders>
            <w:vAlign w:val="center"/>
          </w:tcPr>
          <w:p>
            <w:pPr>
              <w:pStyle w:val="49"/>
              <w:jc w:val="center"/>
              <w:rPr>
                <w:rFonts w:hint="eastAsia" w:ascii="仿宋_GB2312"/>
                <w:b/>
                <w:bCs/>
                <w:sz w:val="28"/>
                <w:szCs w:val="28"/>
              </w:rPr>
            </w:pPr>
            <w:r>
              <w:rPr>
                <w:rFonts w:hint="eastAsia" w:ascii="仿宋_GB2312"/>
                <w:b/>
                <w:bCs/>
                <w:sz w:val="28"/>
                <w:szCs w:val="28"/>
              </w:rPr>
              <w:t>可持</w:t>
            </w:r>
          </w:p>
          <w:p>
            <w:pPr>
              <w:pStyle w:val="49"/>
              <w:jc w:val="center"/>
              <w:rPr>
                <w:rFonts w:hint="eastAsia" w:ascii="仿宋_GB2312"/>
                <w:b/>
                <w:bCs/>
                <w:sz w:val="28"/>
                <w:szCs w:val="28"/>
              </w:rPr>
            </w:pPr>
            <w:r>
              <w:rPr>
                <w:rFonts w:hint="eastAsia" w:ascii="仿宋_GB2312"/>
                <w:b/>
                <w:bCs/>
                <w:sz w:val="28"/>
                <w:szCs w:val="28"/>
              </w:rPr>
              <w:t>续性</w:t>
            </w:r>
          </w:p>
        </w:tc>
        <w:tc>
          <w:tcPr>
            <w:tcW w:w="1554" w:type="dxa"/>
            <w:vAlign w:val="center"/>
          </w:tcPr>
          <w:p>
            <w:pPr>
              <w:pStyle w:val="49"/>
              <w:jc w:val="left"/>
              <w:rPr>
                <w:rFonts w:hint="eastAsia" w:ascii="仿宋_GB2312"/>
                <w:sz w:val="28"/>
                <w:szCs w:val="28"/>
              </w:rPr>
            </w:pPr>
            <w:r>
              <w:rPr>
                <w:rFonts w:hint="eastAsia" w:ascii="仿宋_GB2312"/>
                <w:sz w:val="28"/>
                <w:szCs w:val="28"/>
              </w:rPr>
              <w:t>产能稳定性+环境承载+结构韧性</w:t>
            </w:r>
          </w:p>
        </w:tc>
        <w:tc>
          <w:tcPr>
            <w:tcW w:w="2694" w:type="dxa"/>
            <w:vAlign w:val="center"/>
          </w:tcPr>
          <w:p>
            <w:pPr>
              <w:pStyle w:val="49"/>
              <w:jc w:val="left"/>
              <w:rPr>
                <w:rFonts w:hint="eastAsia" w:ascii="仿宋_GB2312"/>
                <w:sz w:val="28"/>
                <w:szCs w:val="28"/>
              </w:rPr>
            </w:pPr>
            <w:r>
              <w:rPr>
                <w:rFonts w:hint="eastAsia" w:ascii="仿宋_GB2312"/>
                <w:sz w:val="28"/>
                <w:szCs w:val="28"/>
              </w:rPr>
              <w:t>能繁母猪高于正常保有量的3%；家禽养殖密度上升，特色养殖占比低</w:t>
            </w:r>
          </w:p>
        </w:tc>
        <w:tc>
          <w:tcPr>
            <w:tcW w:w="2782" w:type="dxa"/>
            <w:tcBorders>
              <w:right w:val="single" w:color="auto" w:sz="4" w:space="0"/>
            </w:tcBorders>
            <w:vAlign w:val="center"/>
          </w:tcPr>
          <w:p>
            <w:pPr>
              <w:pStyle w:val="49"/>
              <w:jc w:val="left"/>
              <w:rPr>
                <w:rFonts w:hint="eastAsia" w:ascii="仿宋_GB2312"/>
                <w:sz w:val="28"/>
                <w:szCs w:val="28"/>
              </w:rPr>
            </w:pPr>
            <w:r>
              <w:rPr>
                <w:rFonts w:hint="eastAsia" w:ascii="仿宋_GB2312"/>
                <w:sz w:val="28"/>
                <w:szCs w:val="28"/>
              </w:rPr>
              <w:t>生猪产能稳定性高；需加强生猪产业带环保配套、家禽品种多元化、特色化</w:t>
            </w:r>
          </w:p>
        </w:tc>
      </w:tr>
    </w:tbl>
    <w:p>
      <w:pPr>
        <w:pStyle w:val="2"/>
        <w:ind w:firstLine="643"/>
      </w:pPr>
      <w:bookmarkStart w:id="27" w:name="_Toc240753865"/>
      <w:bookmarkStart w:id="28" w:name="OLE_LINK75"/>
      <w:r>
        <w:rPr>
          <w:rFonts w:hint="eastAsia"/>
        </w:rPr>
        <w:t>五</w:t>
      </w:r>
      <w:r>
        <w:t>、空间与产业布局</w:t>
      </w:r>
      <w:bookmarkEnd w:id="27"/>
    </w:p>
    <w:p>
      <w:pPr>
        <w:pStyle w:val="3"/>
        <w:ind w:firstLine="643"/>
        <w:rPr>
          <w:highlight w:val="yellow"/>
        </w:rPr>
      </w:pPr>
      <w:bookmarkStart w:id="29" w:name="_Toc240753866"/>
      <w:r>
        <w:rPr>
          <w:rFonts w:hint="eastAsia"/>
        </w:rPr>
        <w:t>（一）</w:t>
      </w:r>
      <w:r>
        <w:t>空间布局</w:t>
      </w:r>
      <w:bookmarkEnd w:id="29"/>
    </w:p>
    <w:p>
      <w:pPr>
        <w:ind w:firstLine="600"/>
        <w:rPr>
          <w:rFonts w:ascii="仿宋_GB2312" w:hAnsi="Calibri" w:cs="Times New Roman"/>
        </w:rPr>
      </w:pPr>
      <w:r>
        <w:rPr>
          <w:rFonts w:hint="eastAsia" w:ascii="仿宋_GB2312" w:hAnsi="Calibri" w:cs="Times New Roman"/>
        </w:rPr>
        <w:t xml:space="preserve"> “十五五”全县畜禽产业实施差异化管控，划分</w:t>
      </w:r>
      <w:r>
        <w:rPr>
          <w:rFonts w:hint="eastAsia" w:ascii="仿宋_GB2312" w:hAnsi="Calibri" w:cs="Times New Roman"/>
          <w:b/>
          <w:bCs/>
        </w:rPr>
        <w:t>集约发展区、特色发展区、禁养区</w:t>
      </w:r>
      <w:r>
        <w:rPr>
          <w:rFonts w:hint="eastAsia" w:ascii="仿宋_GB2312" w:hAnsi="Calibri" w:cs="Times New Roman"/>
        </w:rPr>
        <w:t>三类空间。</w:t>
      </w:r>
    </w:p>
    <w:p>
      <w:pPr>
        <w:ind w:firstLine="602"/>
        <w:rPr>
          <w:rFonts w:ascii="仿宋_GB2312" w:hAnsi="Calibri Light" w:cs="Times New Roman"/>
          <w:b/>
          <w:szCs w:val="30"/>
        </w:rPr>
      </w:pPr>
      <w:r>
        <w:rPr>
          <w:rFonts w:hint="eastAsia" w:ascii="仿宋_GB2312" w:hAnsi="Calibri Light" w:cs="Times New Roman"/>
          <w:b/>
          <w:szCs w:val="30"/>
        </w:rPr>
        <w:t>1.</w:t>
      </w:r>
      <w:bookmarkStart w:id="30" w:name="OLE_LINK67"/>
      <w:r>
        <w:rPr>
          <w:rFonts w:hint="eastAsia" w:ascii="仿宋_GB2312" w:hAnsi="Calibri Light" w:cs="Times New Roman"/>
          <w:b/>
          <w:szCs w:val="30"/>
        </w:rPr>
        <w:t>集约发展区</w:t>
      </w:r>
      <w:bookmarkEnd w:id="30"/>
    </w:p>
    <w:p>
      <w:pPr>
        <w:adjustRightInd w:val="0"/>
        <w:snapToGrid w:val="0"/>
        <w:ind w:firstLine="600"/>
        <w:rPr>
          <w:rFonts w:ascii="仿宋_GB2312" w:hAnsi="Calibri" w:cs="Times New Roman"/>
        </w:rPr>
      </w:pPr>
      <w:r>
        <w:rPr>
          <w:rFonts w:ascii="仿宋_GB2312" w:hAnsi="Calibri" w:cs="Times New Roman"/>
        </w:rPr>
        <w:t>涵盖桔林镇、下祝乡、省璜镇、白中镇、东桥镇、塔庄镇、金沙镇、坂东镇。2025年该区域综合养殖猪当量13.06万，占全县68.00%，是全县肉蛋奶保供核心承载区，产业基础扎实，土地粪污消纳条件较好。</w:t>
      </w:r>
    </w:p>
    <w:p>
      <w:pPr>
        <w:adjustRightInd w:val="0"/>
        <w:snapToGrid w:val="0"/>
        <w:ind w:firstLine="602"/>
        <w:rPr>
          <w:rFonts w:ascii="仿宋_GB2312" w:hAnsi="Calibri" w:cs="Times New Roman"/>
        </w:rPr>
      </w:pPr>
      <w:r>
        <w:rPr>
          <w:rFonts w:hint="eastAsia" w:ascii="仿宋_GB2312" w:hAnsi="Calibri" w:cs="Times New Roman"/>
          <w:b/>
          <w:bCs/>
        </w:rPr>
        <w:t>（1）生猪产业：</w:t>
      </w:r>
      <w:r>
        <w:rPr>
          <w:rFonts w:hint="eastAsia" w:ascii="仿宋_GB2312" w:hAnsi="Calibri" w:cs="Times New Roman"/>
        </w:rPr>
        <w:t>整合散户、实施老旧猪场改造，培育万头标准化猪场，推广多层标准化养殖、低蛋白减抗、智能饲喂装备；配套田间储液池、输送管网，深化“猪</w:t>
      </w:r>
      <w:r>
        <w:rPr>
          <w:rFonts w:hint="eastAsia" w:ascii="仿宋_GB2312" w:hAnsi="Calibri" w:cs="Times New Roman"/>
        </w:rPr>
        <w:noBreakHyphen/>
      </w:r>
      <w:r>
        <w:rPr>
          <w:rFonts w:hint="eastAsia" w:ascii="仿宋_GB2312" w:hAnsi="Calibri" w:cs="Times New Roman"/>
        </w:rPr>
        <w:t>沼</w:t>
      </w:r>
      <w:r>
        <w:rPr>
          <w:rFonts w:hint="eastAsia" w:ascii="仿宋_GB2312" w:hAnsi="Calibri" w:cs="Times New Roman"/>
        </w:rPr>
        <w:noBreakHyphen/>
      </w:r>
      <w:r>
        <w:rPr>
          <w:rFonts w:hint="eastAsia" w:ascii="仿宋_GB2312" w:hAnsi="Calibri" w:cs="Times New Roman"/>
        </w:rPr>
        <w:t>果/林”种养循环，稳固能繁母猪后备产能。</w:t>
      </w:r>
    </w:p>
    <w:p>
      <w:pPr>
        <w:adjustRightInd w:val="0"/>
        <w:snapToGrid w:val="0"/>
        <w:ind w:firstLine="602"/>
        <w:rPr>
          <w:rFonts w:ascii="仿宋_GB2312" w:hAnsi="Calibri" w:cs="Times New Roman"/>
          <w:highlight w:val="yellow"/>
        </w:rPr>
      </w:pPr>
      <w:r>
        <w:rPr>
          <w:rFonts w:hint="eastAsia" w:ascii="仿宋_GB2312" w:hAnsi="Calibri" w:cs="Times New Roman"/>
          <w:b/>
          <w:bCs/>
        </w:rPr>
        <w:t>（2）蛋鸡产业：</w:t>
      </w:r>
      <w:r>
        <w:rPr>
          <w:rFonts w:hint="eastAsia" w:ascii="仿宋_GB2312" w:hAnsi="Calibri" w:cs="Times New Roman"/>
        </w:rPr>
        <w:t>优化桔林-下祝双蛋鸡产业带、落地金沙大型蛋鸡全产业链项目，</w:t>
      </w:r>
      <w:r>
        <w:rPr>
          <w:rFonts w:ascii="仿宋_GB2312" w:hAnsi="Calibri" w:cs="Times New Roman"/>
        </w:rPr>
        <w:t>配齐水电气、污水、通信道路等基础设施，配置智能环控、自动集蛋装备；</w:t>
      </w:r>
      <w:r>
        <w:rPr>
          <w:rFonts w:hint="eastAsia" w:ascii="仿宋_GB2312" w:hAnsi="Calibri" w:cs="Times New Roman"/>
        </w:rPr>
        <w:t>发展蛋品深加工，开发富硒功能蛋</w:t>
      </w:r>
      <w:r>
        <w:rPr>
          <w:rFonts w:ascii="仿宋_GB2312" w:hAnsi="Calibri" w:cs="Times New Roman"/>
        </w:rPr>
        <w:t>产品，延伸深加工产业链</w:t>
      </w:r>
      <w:r>
        <w:rPr>
          <w:rFonts w:hint="eastAsia" w:ascii="仿宋_GB2312" w:hAnsi="Calibri" w:cs="Times New Roman"/>
        </w:rPr>
        <w:t>；配套建设有机肥厂，实现鸡粪就地还田、外销双向消纳；建立区域疫病联防机制，</w:t>
      </w:r>
      <w:r>
        <w:rPr>
          <w:rFonts w:ascii="仿宋_GB2312" w:hAnsi="Calibri" w:cs="Times New Roman"/>
        </w:rPr>
        <w:t>化解产业过度集聚风险。</w:t>
      </w:r>
    </w:p>
    <w:p>
      <w:pPr>
        <w:adjustRightInd w:val="0"/>
        <w:snapToGrid w:val="0"/>
        <w:ind w:firstLine="602"/>
        <w:rPr>
          <w:rFonts w:ascii="仿宋_GB2312" w:hAnsi="Calibri" w:cs="Times New Roman"/>
        </w:rPr>
      </w:pPr>
      <w:bookmarkStart w:id="31" w:name="OLE_LINK23"/>
      <w:r>
        <w:rPr>
          <w:rFonts w:hint="eastAsia" w:ascii="仿宋_GB2312" w:hAnsi="Calibri" w:cs="Times New Roman"/>
          <w:b/>
          <w:bCs/>
        </w:rPr>
        <w:t>（3）肉禽产业：</w:t>
      </w:r>
      <w:bookmarkEnd w:id="31"/>
      <w:r>
        <w:rPr>
          <w:rFonts w:hint="eastAsia" w:ascii="仿宋_GB2312" w:hAnsi="Calibri" w:cs="Times New Roman"/>
        </w:rPr>
        <w:t>推行肉鸡、肉鸭标准化养殖，淘汰露天水养，普及旱养模式；适度布局规模化肉鸡项目，规划建设年屠宰3000</w:t>
      </w:r>
      <w:r>
        <w:rPr>
          <w:rFonts w:hint="eastAsia" w:ascii="仿宋_GB2312" w:hAnsi="Calibri" w:cs="Times New Roman"/>
        </w:rPr>
        <w:noBreakHyphen/>
      </w:r>
      <w:r>
        <w:rPr>
          <w:rFonts w:hint="eastAsia" w:ascii="仿宋_GB2312" w:hAnsi="Calibri" w:cs="Times New Roman"/>
        </w:rPr>
        <w:t>6000万羽标准化肉鸡屠宰加工厂，配套预冷、低温冷链、副产品加工设施，补齐加工短板，打通“肉鸡养殖—集中屠宰—冷鲜配送”全链条。</w:t>
      </w:r>
    </w:p>
    <w:p>
      <w:pPr>
        <w:adjustRightInd w:val="0"/>
        <w:snapToGrid w:val="0"/>
        <w:ind w:firstLine="602"/>
        <w:rPr>
          <w:rFonts w:ascii="仿宋_GB2312" w:hAnsi="Calibri" w:cs="Times New Roman"/>
        </w:rPr>
      </w:pPr>
      <w:r>
        <w:rPr>
          <w:rFonts w:hint="eastAsia" w:ascii="仿宋_GB2312" w:hAnsi="Calibri" w:cs="Times New Roman"/>
          <w:b/>
          <w:bCs/>
        </w:rPr>
        <w:t>（4）草食与特色养殖：</w:t>
      </w:r>
      <w:r>
        <w:rPr>
          <w:rFonts w:hint="eastAsia" w:ascii="仿宋_GB2312" w:hAnsi="Calibri" w:cs="Times New Roman"/>
        </w:rPr>
        <w:t>依托山地资源发展牛、羊、肉兔生态养殖，推广“放牧+补饲”模式，配套饲草基地；规范鹿、白鸽小众试点养殖，发展林下鸡、林下蜂立体种养。</w:t>
      </w:r>
    </w:p>
    <w:p>
      <w:pPr>
        <w:adjustRightInd w:val="0"/>
        <w:snapToGrid w:val="0"/>
        <w:ind w:firstLine="602"/>
        <w:rPr>
          <w:rFonts w:ascii="仿宋_GB2312" w:hAnsi="Calibri" w:cs="Times New Roman"/>
        </w:rPr>
      </w:pPr>
      <w:r>
        <w:rPr>
          <w:rFonts w:hint="eastAsia" w:ascii="仿宋_GB2312" w:hAnsi="Calibri" w:cs="Times New Roman"/>
          <w:b/>
          <w:bCs/>
        </w:rPr>
        <w:t>（5）</w:t>
      </w:r>
      <w:bookmarkStart w:id="32" w:name="OLE_LINK68"/>
      <w:r>
        <w:rPr>
          <w:rFonts w:hint="eastAsia" w:ascii="仿宋_GB2312" w:hAnsi="Calibri" w:cs="Times New Roman"/>
          <w:b/>
          <w:bCs/>
        </w:rPr>
        <w:t>管控要求：</w:t>
      </w:r>
      <w:r>
        <w:rPr>
          <w:rFonts w:hint="eastAsia" w:ascii="仿宋_GB2312" w:hAnsi="Calibri" w:cs="Times New Roman"/>
        </w:rPr>
        <w:t>所有新增、改扩建项目严格开展土地承载力评估，分区总量不突破环境消纳上限，同步配齐污水、病死畜禽无害化处理设施。</w:t>
      </w:r>
      <w:bookmarkEnd w:id="32"/>
    </w:p>
    <w:p>
      <w:pPr>
        <w:adjustRightInd w:val="0"/>
        <w:snapToGrid w:val="0"/>
        <w:ind w:firstLine="602"/>
        <w:rPr>
          <w:rFonts w:ascii="仿宋_GB2312"/>
          <w:b/>
          <w:bCs/>
        </w:rPr>
      </w:pPr>
      <w:r>
        <w:rPr>
          <w:rFonts w:ascii="仿宋_GB2312"/>
          <w:b/>
          <w:bCs/>
        </w:rPr>
        <w:t>2.</w:t>
      </w:r>
      <w:r>
        <w:rPr>
          <w:rFonts w:hint="eastAsia" w:ascii="仿宋_GB2312"/>
          <w:b/>
          <w:bCs/>
        </w:rPr>
        <w:t>特色发展区</w:t>
      </w:r>
    </w:p>
    <w:p>
      <w:pPr>
        <w:adjustRightInd w:val="0"/>
        <w:snapToGrid w:val="0"/>
        <w:ind w:firstLine="600"/>
        <w:rPr>
          <w:rFonts w:ascii="仿宋_GB2312"/>
        </w:rPr>
      </w:pPr>
      <w:r>
        <w:rPr>
          <w:rFonts w:hint="eastAsia" w:ascii="仿宋_GB2312" w:hAnsi="Calibri" w:cs="Times New Roman"/>
        </w:rPr>
        <w:t>包含</w:t>
      </w:r>
      <w:bookmarkStart w:id="33" w:name="OLE_LINK17"/>
      <w:r>
        <w:rPr>
          <w:rFonts w:hint="eastAsia" w:ascii="仿宋_GB2312" w:hAnsi="Calibri" w:cs="Times New Roman"/>
        </w:rPr>
        <w:t>池园镇</w:t>
      </w:r>
      <w:bookmarkStart w:id="34" w:name="OLE_LINK19"/>
      <w:r>
        <w:rPr>
          <w:rFonts w:hint="eastAsia" w:ascii="仿宋_GB2312" w:hAnsi="Calibri" w:cs="Times New Roman"/>
        </w:rPr>
        <w:t>、</w:t>
      </w:r>
      <w:bookmarkEnd w:id="34"/>
      <w:r>
        <w:rPr>
          <w:rFonts w:ascii="仿宋_GB2312" w:hAnsi="Calibri" w:cs="Times New Roman"/>
        </w:rPr>
        <w:t>上莲乡</w:t>
      </w:r>
      <w:r>
        <w:rPr>
          <w:rFonts w:hint="eastAsia" w:ascii="仿宋_GB2312" w:hAnsi="Calibri" w:cs="Times New Roman"/>
        </w:rPr>
        <w:t>、三溪乡、梅溪镇</w:t>
      </w:r>
      <w:bookmarkEnd w:id="33"/>
      <w:r>
        <w:rPr>
          <w:rFonts w:hint="eastAsia" w:ascii="仿宋_GB2312" w:hAnsi="Calibri" w:cs="Times New Roman"/>
        </w:rPr>
        <w:t>等乡镇，2025年综合猪当量合计约2.71</w:t>
      </w:r>
      <w:r>
        <w:rPr>
          <w:rFonts w:ascii="仿宋_GB2312" w:hAnsi="Calibri" w:cs="Times New Roman"/>
        </w:rPr>
        <w:t>万个猪当量</w:t>
      </w:r>
      <w:r>
        <w:rPr>
          <w:rFonts w:hint="eastAsia" w:ascii="仿宋_GB2312" w:hAnsi="Calibri" w:cs="Times New Roman"/>
        </w:rPr>
        <w:t>，约占全县总当量14.1%</w:t>
      </w:r>
      <w:r>
        <w:rPr>
          <w:rFonts w:hint="eastAsia" w:ascii="仿宋_GB2312"/>
        </w:rPr>
        <w:t>，</w:t>
      </w:r>
      <w:r>
        <w:rPr>
          <w:rFonts w:ascii="仿宋_GB2312"/>
        </w:rPr>
        <w:t>养殖体量适中</w:t>
      </w:r>
      <w:bookmarkStart w:id="35" w:name="OLE_LINK57"/>
      <w:r>
        <w:rPr>
          <w:rFonts w:hint="eastAsia" w:ascii="仿宋_GB2312"/>
        </w:rPr>
        <w:t>。</w:t>
      </w:r>
    </w:p>
    <w:p>
      <w:pPr>
        <w:adjustRightInd w:val="0"/>
        <w:snapToGrid w:val="0"/>
        <w:ind w:firstLine="602"/>
        <w:rPr>
          <w:rFonts w:ascii="仿宋_GB2312"/>
        </w:rPr>
      </w:pPr>
      <w:r>
        <w:rPr>
          <w:rFonts w:hint="eastAsia" w:ascii="仿宋_GB2312"/>
          <w:b/>
          <w:bCs/>
        </w:rPr>
        <w:t>（1）产能稳定：</w:t>
      </w:r>
      <w:r>
        <w:rPr>
          <w:rFonts w:hint="eastAsia" w:ascii="仿宋_GB2312"/>
        </w:rPr>
        <w:t>重点守住能繁母猪后备产能；提升肉鸭标准化水平，依托集镇发展线上线下畜禽商贸流通。</w:t>
      </w:r>
    </w:p>
    <w:p>
      <w:pPr>
        <w:adjustRightInd w:val="0"/>
        <w:snapToGrid w:val="0"/>
        <w:ind w:firstLine="602"/>
        <w:rPr>
          <w:rFonts w:ascii="仿宋_GB2312"/>
        </w:rPr>
      </w:pPr>
      <w:r>
        <w:rPr>
          <w:rFonts w:hint="eastAsia" w:ascii="仿宋_GB2312"/>
          <w:b/>
          <w:bCs/>
        </w:rPr>
        <w:t>（2）生态精品养殖：</w:t>
      </w:r>
      <w:r>
        <w:rPr>
          <w:rFonts w:hint="eastAsia" w:ascii="仿宋_GB2312"/>
        </w:rPr>
        <w:t>重点发展小型林下土鸡、牛羊家庭农场，打造林下养殖示范点，走精品生态路线。</w:t>
      </w:r>
    </w:p>
    <w:p>
      <w:pPr>
        <w:adjustRightInd w:val="0"/>
        <w:snapToGrid w:val="0"/>
        <w:ind w:firstLine="602"/>
        <w:rPr>
          <w:rFonts w:ascii="仿宋_GB2312"/>
        </w:rPr>
      </w:pPr>
      <w:r>
        <w:rPr>
          <w:rFonts w:hint="eastAsia" w:ascii="仿宋_GB2312"/>
          <w:b/>
          <w:bCs/>
        </w:rPr>
        <w:t>（3）差异化管控：</w:t>
      </w:r>
      <w:r>
        <w:rPr>
          <w:rFonts w:ascii="仿宋_GB2312"/>
        </w:rPr>
        <w:t>梅溪水源保护带周边养殖场全面升级污染治理设施，落实差异化生态管控。</w:t>
      </w:r>
    </w:p>
    <w:bookmarkEnd w:id="35"/>
    <w:p>
      <w:pPr>
        <w:ind w:firstLine="602"/>
        <w:rPr>
          <w:rStyle w:val="31"/>
          <w:rFonts w:ascii="仿宋_GB2312"/>
          <w:color w:val="auto"/>
          <w:szCs w:val="30"/>
        </w:rPr>
      </w:pPr>
      <w:r>
        <w:rPr>
          <w:rStyle w:val="31"/>
          <w:rFonts w:ascii="仿宋_GB2312"/>
          <w:color w:val="auto"/>
          <w:szCs w:val="30"/>
        </w:rPr>
        <w:t>3.</w:t>
      </w:r>
      <w:r>
        <w:rPr>
          <w:rStyle w:val="31"/>
          <w:rFonts w:hint="eastAsia" w:ascii="仿宋_GB2312"/>
          <w:color w:val="auto"/>
          <w:szCs w:val="30"/>
        </w:rPr>
        <w:t>禁养区</w:t>
      </w:r>
    </w:p>
    <w:p>
      <w:pPr>
        <w:ind w:firstLine="600"/>
        <w:rPr>
          <w:rFonts w:ascii="仿宋_GB2312"/>
          <w:bCs/>
        </w:rPr>
      </w:pPr>
      <w:r>
        <w:rPr>
          <w:rFonts w:hint="eastAsia" w:ascii="仿宋_GB2312"/>
          <w:bCs/>
        </w:rPr>
        <w:t>严格执行《闽清县畜禽养殖禁养区划定调整方案》（梅政办〔</w:t>
      </w:r>
      <w:r>
        <w:rPr>
          <w:rFonts w:ascii="仿宋_GB2312"/>
          <w:bCs/>
        </w:rPr>
        <w:t>2020</w:t>
      </w:r>
      <w:r>
        <w:rPr>
          <w:rFonts w:hint="eastAsia" w:ascii="仿宋_GB2312"/>
          <w:bCs/>
        </w:rPr>
        <w:t>〕</w:t>
      </w:r>
      <w:r>
        <w:rPr>
          <w:rFonts w:ascii="仿宋_GB2312"/>
          <w:bCs/>
        </w:rPr>
        <w:t>23</w:t>
      </w:r>
      <w:r>
        <w:rPr>
          <w:rFonts w:hint="eastAsia" w:ascii="仿宋_GB2312"/>
          <w:bCs/>
        </w:rPr>
        <w:t>号），</w:t>
      </w:r>
      <w:r>
        <w:rPr>
          <w:rFonts w:hint="eastAsia" w:ascii="仿宋_GB2312"/>
        </w:rPr>
        <w:t>禁养区</w:t>
      </w:r>
      <w:r>
        <w:rPr>
          <w:rFonts w:hint="eastAsia" w:ascii="仿宋_GB2312"/>
          <w:bCs/>
        </w:rPr>
        <w:t>内严格限制养殖活动，保障水质安全。</w:t>
      </w:r>
    </w:p>
    <w:p>
      <w:pPr>
        <w:pStyle w:val="3"/>
        <w:ind w:firstLine="643"/>
      </w:pPr>
      <w:bookmarkStart w:id="36" w:name="_Toc240753867"/>
      <w:r>
        <w:rPr>
          <w:rFonts w:hint="eastAsia"/>
        </w:rPr>
        <w:t>（二）</w:t>
      </w:r>
      <w:r>
        <w:t>产业布局</w:t>
      </w:r>
      <w:bookmarkEnd w:id="36"/>
    </w:p>
    <w:p>
      <w:pPr>
        <w:ind w:firstLine="602"/>
        <w:rPr>
          <w:rStyle w:val="31"/>
          <w:rFonts w:ascii="仿宋_GB2312"/>
          <w:color w:val="auto"/>
          <w:szCs w:val="30"/>
        </w:rPr>
      </w:pPr>
      <w:bookmarkStart w:id="37" w:name="_Hlk203146344"/>
      <w:bookmarkStart w:id="38" w:name="_Hlk203146309"/>
      <w:r>
        <w:rPr>
          <w:rStyle w:val="31"/>
          <w:rFonts w:ascii="仿宋_GB2312"/>
          <w:color w:val="auto"/>
          <w:szCs w:val="30"/>
        </w:rPr>
        <w:t>1.</w:t>
      </w:r>
      <w:r>
        <w:rPr>
          <w:rStyle w:val="31"/>
          <w:rFonts w:hint="eastAsia" w:ascii="仿宋_GB2312"/>
          <w:color w:val="auto"/>
          <w:szCs w:val="30"/>
        </w:rPr>
        <w:t>生猪产业带</w:t>
      </w:r>
      <w:bookmarkEnd w:id="37"/>
    </w:p>
    <w:p>
      <w:pPr>
        <w:ind w:firstLine="600"/>
        <w:rPr>
          <w:rFonts w:ascii="仿宋_GB2312"/>
        </w:rPr>
      </w:pPr>
      <w:r>
        <w:rPr>
          <w:rFonts w:ascii="仿宋_GB2312"/>
        </w:rPr>
        <w:t>布局省璜、白中、东桥、塔庄、上莲、池园、金沙、坂东，实行多点分散布局，稳定能繁母猪保有量，根据政策动态调整。推进老旧猪场改造，提升智能化、环保设施水平；重点培育2</w:t>
      </w:r>
      <w:r>
        <w:rPr>
          <w:rFonts w:ascii="Cambria Math" w:hAnsi="Cambria Math" w:cs="Cambria Math"/>
        </w:rPr>
        <w:t>‑</w:t>
      </w:r>
      <w:r>
        <w:rPr>
          <w:rFonts w:ascii="仿宋_GB2312"/>
        </w:rPr>
        <w:t>5家年出栏万头以上标准化猪场，推广多层养殖、智能饲喂、低蛋白减氮日粮，打造福州优质生猪保供基地</w:t>
      </w:r>
      <w:r>
        <w:rPr>
          <w:rFonts w:hint="eastAsia" w:ascii="仿宋_GB2312"/>
        </w:rPr>
        <w:t>。</w:t>
      </w:r>
      <w:r>
        <w:rPr>
          <w:rFonts w:ascii="仿宋_GB2312"/>
        </w:rPr>
        <w:t>项目落地严格匹配土地承载能力。</w:t>
      </w:r>
      <w:bookmarkEnd w:id="38"/>
    </w:p>
    <w:p>
      <w:pPr>
        <w:ind w:firstLine="602"/>
        <w:rPr>
          <w:rStyle w:val="31"/>
          <w:rFonts w:ascii="仿宋_GB2312"/>
          <w:color w:val="auto"/>
        </w:rPr>
      </w:pPr>
      <w:bookmarkStart w:id="39" w:name="_Hlk203146366"/>
      <w:r>
        <w:rPr>
          <w:rStyle w:val="31"/>
          <w:rFonts w:ascii="仿宋_GB2312"/>
          <w:color w:val="auto"/>
        </w:rPr>
        <w:t>2.</w:t>
      </w:r>
      <w:bookmarkStart w:id="40" w:name="OLE_LINK2"/>
      <w:r>
        <w:rPr>
          <w:rStyle w:val="31"/>
          <w:rFonts w:hint="eastAsia" w:ascii="仿宋_GB2312"/>
          <w:color w:val="auto"/>
        </w:rPr>
        <w:t>蛋鸡产业区</w:t>
      </w:r>
      <w:bookmarkEnd w:id="40"/>
    </w:p>
    <w:p>
      <w:pPr>
        <w:ind w:firstLine="600"/>
        <w:rPr>
          <w:rFonts w:ascii="仿宋_GB2312"/>
        </w:rPr>
      </w:pPr>
      <w:r>
        <w:rPr>
          <w:rFonts w:hint="eastAsia" w:ascii="仿宋_GB2312"/>
        </w:rPr>
        <w:t>以金沙、桔林、下祝、云龙构建蛋鸡产业集中带。严控桔林、下祝现有养殖密度，依托金沙承接新增产能，形成“双核心、一分流”格局；培育3</w:t>
      </w:r>
      <w:r>
        <w:rPr>
          <w:rFonts w:hint="eastAsia" w:ascii="仿宋_GB2312"/>
        </w:rPr>
        <w:noBreakHyphen/>
      </w:r>
      <w:r>
        <w:rPr>
          <w:rFonts w:hint="eastAsia" w:ascii="仿宋_GB2312"/>
        </w:rPr>
        <w:t>5家存栏15万羽以上蛋鸡场，新增1家300</w:t>
      </w:r>
      <w:r>
        <w:rPr>
          <w:rFonts w:hint="eastAsia" w:ascii="仿宋_GB2312"/>
        </w:rPr>
        <w:noBreakHyphen/>
      </w:r>
      <w:r>
        <w:rPr>
          <w:rFonts w:hint="eastAsia" w:ascii="仿宋_GB2312"/>
        </w:rPr>
        <w:t>500万羽大型标准化蛋鸡场，配置自动化养殖设备；发展蛋品深加工与品牌建设，降低单一品类市场风险，打造优质蛋品生产基地。</w:t>
      </w:r>
    </w:p>
    <w:bookmarkEnd w:id="39"/>
    <w:p>
      <w:pPr>
        <w:ind w:firstLine="602"/>
        <w:rPr>
          <w:rStyle w:val="31"/>
          <w:rFonts w:ascii="仿宋_GB2312"/>
          <w:color w:val="auto"/>
        </w:rPr>
      </w:pPr>
      <w:bookmarkStart w:id="41" w:name="_Hlk203146393"/>
      <w:r>
        <w:rPr>
          <w:rStyle w:val="31"/>
          <w:rFonts w:ascii="仿宋_GB2312"/>
          <w:color w:val="auto"/>
        </w:rPr>
        <w:t>3.</w:t>
      </w:r>
      <w:bookmarkStart w:id="42" w:name="OLE_LINK3"/>
      <w:r>
        <w:rPr>
          <w:rStyle w:val="31"/>
          <w:rFonts w:hint="eastAsia" w:ascii="仿宋_GB2312"/>
          <w:color w:val="auto"/>
        </w:rPr>
        <w:t>肉禽产业集群</w:t>
      </w:r>
      <w:bookmarkEnd w:id="42"/>
    </w:p>
    <w:p>
      <w:pPr>
        <w:ind w:firstLine="600"/>
        <w:rPr>
          <w:rFonts w:ascii="仿宋_GB2312"/>
        </w:rPr>
      </w:pPr>
      <w:r>
        <w:rPr>
          <w:rFonts w:ascii="仿宋_GB2312"/>
        </w:rPr>
        <w:t>坂东、白中、金沙、下祝、云龙、东桥打造肉禽集群，新增肉鸡存栏800</w:t>
      </w:r>
      <w:r>
        <w:rPr>
          <w:rFonts w:ascii="Cambria Math" w:hAnsi="Cambria Math" w:cs="Cambria Math"/>
        </w:rPr>
        <w:t>‑</w:t>
      </w:r>
      <w:r>
        <w:rPr>
          <w:rFonts w:ascii="仿宋_GB2312"/>
        </w:rPr>
        <w:t>900万羽，推广水禽旱养技术；建设屠宰、冷链前置仓，培育本土肉禽品牌，开发预制菜产品。保留福建同一农牧有限公司闽清毛脚鸡保种场，挖掘地方品种遗传潜力，探索肉用、蛋用杂交选育，以产业效益反哺纯种保种。</w:t>
      </w:r>
    </w:p>
    <w:bookmarkEnd w:id="41"/>
    <w:p>
      <w:pPr>
        <w:ind w:firstLine="602"/>
        <w:rPr>
          <w:rStyle w:val="31"/>
          <w:rFonts w:ascii="仿宋_GB2312"/>
          <w:color w:val="auto"/>
        </w:rPr>
      </w:pPr>
      <w:r>
        <w:rPr>
          <w:rStyle w:val="31"/>
          <w:rFonts w:ascii="仿宋_GB2312"/>
          <w:color w:val="auto"/>
        </w:rPr>
        <w:t>4.</w:t>
      </w:r>
      <w:bookmarkStart w:id="43" w:name="OLE_LINK4"/>
      <w:r>
        <w:rPr>
          <w:rFonts w:hint="eastAsia" w:ascii="仿宋_GB2312" w:hAnsiTheme="majorHAnsi" w:cstheme="majorBidi"/>
          <w:b/>
          <w:szCs w:val="32"/>
        </w:rPr>
        <w:t>草食动物</w:t>
      </w:r>
      <w:r>
        <w:rPr>
          <w:rStyle w:val="31"/>
          <w:rFonts w:hint="eastAsia" w:ascii="仿宋_GB2312"/>
          <w:color w:val="auto"/>
        </w:rPr>
        <w:t>产业基地</w:t>
      </w:r>
      <w:bookmarkEnd w:id="43"/>
    </w:p>
    <w:p>
      <w:pPr>
        <w:ind w:firstLine="600"/>
        <w:rPr>
          <w:rFonts w:ascii="仿宋_GB2312"/>
        </w:rPr>
      </w:pPr>
      <w:bookmarkStart w:id="44" w:name="_Hlk203146424"/>
      <w:r>
        <w:rPr>
          <w:rFonts w:hint="eastAsia" w:ascii="仿宋_GB2312"/>
        </w:rPr>
        <w:t>因地制宜，</w:t>
      </w:r>
      <w:r>
        <w:rPr>
          <w:rFonts w:ascii="仿宋_GB2312"/>
        </w:rPr>
        <w:t>在塔庄、池园、下祝、省璜、东桥、坂东、三溪、上莲、金沙、云龙、雄江、白中等山林资源丰富乡镇布局草食畜牧，建设饲草基地，推广</w:t>
      </w:r>
      <w:r>
        <w:rPr>
          <w:rFonts w:hint="eastAsia" w:ascii="仿宋_GB2312"/>
        </w:rPr>
        <w:t>“</w:t>
      </w:r>
      <w:r>
        <w:rPr>
          <w:rFonts w:ascii="仿宋_GB2312"/>
        </w:rPr>
        <w:t>放牧+补饲</w:t>
      </w:r>
      <w:r>
        <w:rPr>
          <w:rFonts w:hint="eastAsia" w:ascii="仿宋_GB2312"/>
        </w:rPr>
        <w:t>”</w:t>
      </w:r>
      <w:r>
        <w:rPr>
          <w:rFonts w:ascii="仿宋_GB2312"/>
        </w:rPr>
        <w:t>林畜共生模式，改造提升现有养殖场，建设一批适度规模标准化基地，打造山地生态畜禽区域品牌。</w:t>
      </w:r>
    </w:p>
    <w:bookmarkEnd w:id="44"/>
    <w:p>
      <w:pPr>
        <w:ind w:firstLine="602"/>
        <w:rPr>
          <w:rStyle w:val="31"/>
          <w:rFonts w:ascii="仿宋_GB2312"/>
          <w:color w:val="auto"/>
        </w:rPr>
      </w:pPr>
      <w:r>
        <w:rPr>
          <w:rStyle w:val="31"/>
          <w:rFonts w:ascii="仿宋_GB2312"/>
          <w:color w:val="auto"/>
        </w:rPr>
        <w:t>5.</w:t>
      </w:r>
      <w:r>
        <w:rPr>
          <w:rStyle w:val="31"/>
          <w:rFonts w:hint="eastAsia" w:ascii="仿宋_GB2312"/>
          <w:color w:val="auto"/>
        </w:rPr>
        <w:t>畜禽屠宰厂布局</w:t>
      </w:r>
    </w:p>
    <w:p>
      <w:pPr>
        <w:ind w:firstLine="600"/>
        <w:rPr>
          <w:rFonts w:ascii="仿宋_GB2312"/>
        </w:rPr>
      </w:pPr>
      <w:r>
        <w:rPr>
          <w:rFonts w:hint="eastAsia" w:ascii="仿宋_GB2312"/>
        </w:rPr>
        <w:t>保留1家生猪定点屠宰厂，新增1家大型肉鸡屠宰厂，推动屠宰企业现代化升级，提升自动化、信息化、冷链配套能力，保障肉品质量与市场供应。</w:t>
      </w:r>
    </w:p>
    <w:p>
      <w:pPr>
        <w:pStyle w:val="3"/>
        <w:ind w:firstLine="643"/>
      </w:pPr>
      <w:bookmarkStart w:id="45" w:name="_Toc240753868"/>
      <w:r>
        <w:rPr>
          <w:rFonts w:hint="eastAsia"/>
        </w:rPr>
        <w:t>（三）重点</w:t>
      </w:r>
      <w:r>
        <w:t>产业</w:t>
      </w:r>
      <w:bookmarkEnd w:id="45"/>
    </w:p>
    <w:p>
      <w:pPr>
        <w:ind w:firstLine="600"/>
        <w:rPr>
          <w:rFonts w:ascii="仿宋_GB2312"/>
        </w:rPr>
      </w:pPr>
      <w:r>
        <w:rPr>
          <w:rFonts w:hint="eastAsia" w:ascii="仿宋_GB2312"/>
        </w:rPr>
        <w:t>1.生猪产业：作为传统支柱产业，保障县域猪肉供给，推进规模化、标准化、产业化建设。</w:t>
      </w:r>
    </w:p>
    <w:p>
      <w:pPr>
        <w:ind w:firstLine="600"/>
        <w:rPr>
          <w:rFonts w:ascii="仿宋_GB2312"/>
        </w:rPr>
      </w:pPr>
      <w:r>
        <w:rPr>
          <w:rFonts w:hint="eastAsia" w:ascii="仿宋_GB2312"/>
        </w:rPr>
        <w:t>2.家禽产业：作为产业增长核心，扩大工厂化养殖规模，发展蛋品、肉禽深加工，对接电商、连锁餐饮，提升产品附加值。</w:t>
      </w:r>
    </w:p>
    <w:p>
      <w:pPr>
        <w:ind w:firstLine="600"/>
        <w:rPr>
          <w:rFonts w:ascii="仿宋_GB2312"/>
        </w:rPr>
      </w:pPr>
      <w:r>
        <w:rPr>
          <w:rFonts w:hint="eastAsia" w:ascii="仿宋_GB2312"/>
        </w:rPr>
        <w:t>3.特色产业：重点发展肉牛、肉羊标准化育肥，用好荒坡草地资源，打造山地草食畜牧品牌，提高产业抗风险能力。</w:t>
      </w:r>
    </w:p>
    <w:p>
      <w:pPr>
        <w:ind w:firstLine="600"/>
        <w:rPr>
          <w:rFonts w:ascii="仿宋_GB2312"/>
        </w:rPr>
      </w:pPr>
      <w:r>
        <w:rPr>
          <w:rFonts w:hint="eastAsia" w:ascii="仿宋_GB2312"/>
        </w:rPr>
        <w:t>4.休闲牧业：依托县域山水民俗资源，开发“牧场+旅游”，建设亲子体验项目，发展小而精的特色养殖，促进农文旅融合。</w:t>
      </w:r>
    </w:p>
    <w:p>
      <w:pPr>
        <w:ind w:firstLine="600"/>
        <w:rPr>
          <w:rFonts w:ascii="仿宋_GB2312"/>
        </w:rPr>
      </w:pPr>
      <w:r>
        <w:rPr>
          <w:rFonts w:hint="eastAsia" w:ascii="仿宋_GB2312"/>
        </w:rPr>
        <w:t>5.加工流通产业：引进培育加工主体，开发低温冷鲜肉、预制菜等高附加值产品；依托交通枢纽布局冷链物流，推动畜牧业由售卖活畜向品牌成品转型。</w:t>
      </w:r>
    </w:p>
    <w:p>
      <w:pPr>
        <w:pStyle w:val="2"/>
        <w:ind w:firstLine="643"/>
      </w:pPr>
      <w:bookmarkStart w:id="46" w:name="_Toc240753869"/>
      <w:r>
        <w:rPr>
          <w:rFonts w:hint="eastAsia"/>
        </w:rPr>
        <w:t>六、重点任务</w:t>
      </w:r>
      <w:bookmarkEnd w:id="46"/>
    </w:p>
    <w:p>
      <w:pPr>
        <w:pStyle w:val="3"/>
        <w:ind w:firstLine="643"/>
      </w:pPr>
      <w:bookmarkStart w:id="47" w:name="_Toc240753870"/>
      <w:r>
        <w:rPr>
          <w:rFonts w:hint="eastAsia"/>
        </w:rPr>
        <w:t>（一）</w:t>
      </w:r>
      <w:r>
        <w:rPr>
          <w:bCs/>
        </w:rPr>
        <w:t>构建健康养殖体系，夯实产业发展基石</w:t>
      </w:r>
      <w:r>
        <w:t>​</w:t>
      </w:r>
      <w:bookmarkEnd w:id="47"/>
    </w:p>
    <w:p>
      <w:pPr>
        <w:ind w:firstLine="600"/>
        <w:rPr>
          <w:rFonts w:ascii="仿宋_GB2312"/>
          <w:szCs w:val="30"/>
        </w:rPr>
      </w:pPr>
      <w:bookmarkStart w:id="48" w:name="OLE_LINK1"/>
      <w:bookmarkStart w:id="49" w:name="OLE_LINK6"/>
      <w:r>
        <w:rPr>
          <w:rFonts w:hint="eastAsia" w:ascii="仿宋_GB2312"/>
          <w:szCs w:val="30"/>
        </w:rPr>
        <w:t>1.强化规模化标准化示范引领。聚焦年出栏万头以上猪场、存栏10万羽以上蛋禽场，导入质量管理体系，健全全流程标准，组织专家驻场评估指导，推动养殖场标准化升级改造。</w:t>
      </w:r>
    </w:p>
    <w:bookmarkEnd w:id="48"/>
    <w:bookmarkEnd w:id="49"/>
    <w:p>
      <w:pPr>
        <w:ind w:firstLine="600"/>
        <w:rPr>
          <w:rFonts w:ascii="仿宋_GB2312"/>
          <w:szCs w:val="30"/>
        </w:rPr>
      </w:pPr>
      <w:r>
        <w:rPr>
          <w:rFonts w:hint="eastAsia" w:ascii="仿宋_GB2312"/>
          <w:szCs w:val="30"/>
        </w:rPr>
        <w:t>2.深入推广生态养殖技术。落实“三减三增”模式，从源头减少抗生素使用、氮排放与用水消耗，提高粪污资源化利用效益；搭建粪污“收集</w:t>
      </w:r>
      <w:r>
        <w:rPr>
          <w:rFonts w:hint="eastAsia" w:ascii="仿宋_GB2312"/>
          <w:szCs w:val="30"/>
        </w:rPr>
        <w:noBreakHyphen/>
      </w:r>
      <w:r>
        <w:rPr>
          <w:rFonts w:hint="eastAsia" w:ascii="仿宋_GB2312"/>
          <w:szCs w:val="30"/>
        </w:rPr>
        <w:t>处理</w:t>
      </w:r>
      <w:r>
        <w:rPr>
          <w:rFonts w:hint="eastAsia" w:ascii="仿宋_GB2312"/>
          <w:szCs w:val="30"/>
        </w:rPr>
        <w:noBreakHyphen/>
      </w:r>
      <w:r>
        <w:rPr>
          <w:rFonts w:hint="eastAsia" w:ascii="仿宋_GB2312"/>
          <w:szCs w:val="30"/>
        </w:rPr>
        <w:t>还田”闭环；推行抗菌药分级管理，建立“用药</w:t>
      </w:r>
      <w:r>
        <w:rPr>
          <w:rFonts w:hint="eastAsia" w:ascii="仿宋_GB2312"/>
          <w:szCs w:val="30"/>
        </w:rPr>
        <w:noBreakHyphen/>
      </w:r>
      <w:r>
        <w:rPr>
          <w:rFonts w:hint="eastAsia" w:ascii="仿宋_GB2312"/>
          <w:szCs w:val="30"/>
        </w:rPr>
        <w:t>休药</w:t>
      </w:r>
      <w:r>
        <w:rPr>
          <w:rFonts w:hint="eastAsia" w:ascii="仿宋_GB2312"/>
          <w:szCs w:val="30"/>
        </w:rPr>
        <w:noBreakHyphen/>
      </w:r>
      <w:r>
        <w:rPr>
          <w:rFonts w:hint="eastAsia" w:ascii="仿宋_GB2312"/>
          <w:szCs w:val="30"/>
        </w:rPr>
        <w:t>检测”全链条追溯机制。</w:t>
      </w:r>
    </w:p>
    <w:p>
      <w:pPr>
        <w:ind w:firstLine="600"/>
        <w:rPr>
          <w:rFonts w:ascii="仿宋_GB2312"/>
          <w:szCs w:val="30"/>
        </w:rPr>
      </w:pPr>
      <w:r>
        <w:rPr>
          <w:rFonts w:hint="eastAsia" w:ascii="仿宋_GB2312"/>
          <w:szCs w:val="30"/>
        </w:rPr>
        <w:t>3.</w:t>
      </w:r>
      <w:bookmarkStart w:id="50" w:name="OLE_LINK7"/>
      <w:r>
        <w:rPr>
          <w:rFonts w:hint="eastAsia" w:ascii="仿宋_GB2312"/>
          <w:szCs w:val="30"/>
        </w:rPr>
        <w:t>强化饲料兽药全链条安全管控。健全饲料兽药监管网络，支持无抗饲料研发应用，引导饲料企业向全产业链延伸，提升经营主体抗风险能力。</w:t>
      </w:r>
    </w:p>
    <w:bookmarkEnd w:id="50"/>
    <w:p>
      <w:pPr>
        <w:ind w:firstLine="600"/>
      </w:pPr>
      <w:r>
        <w:rPr>
          <w:rFonts w:hint="eastAsia" w:ascii="仿宋_GB2312"/>
          <w:szCs w:val="30"/>
        </w:rPr>
        <w:t>4.集成应用智能化装备。推广智能饲喂、环境调控装备，规划建设县级智慧畜牧云平台，整合生产环境、生产性能等数据，实现精细化养殖，提升疫病预警能力与饲料转化效率。</w:t>
      </w:r>
    </w:p>
    <w:p>
      <w:pPr>
        <w:pStyle w:val="3"/>
        <w:ind w:firstLine="643"/>
      </w:pPr>
      <w:bookmarkStart w:id="51" w:name="_Toc240753871"/>
      <w:r>
        <w:rPr>
          <w:rFonts w:hint="eastAsia"/>
        </w:rPr>
        <w:t>（二）完善生物安全屏障，保障产品质量安全</w:t>
      </w:r>
      <w:r>
        <w:t>​</w:t>
      </w:r>
      <w:bookmarkEnd w:id="51"/>
    </w:p>
    <w:p>
      <w:pPr>
        <w:ind w:firstLine="600"/>
        <w:rPr>
          <w:rFonts w:ascii="仿宋_GB2312"/>
          <w:bCs/>
          <w:szCs w:val="30"/>
        </w:rPr>
      </w:pPr>
      <w:r>
        <w:rPr>
          <w:rFonts w:ascii="仿宋_GB2312"/>
          <w:bCs/>
          <w:szCs w:val="30"/>
        </w:rPr>
        <w:t>1.升级现代化疫病防控体系。完善</w:t>
      </w:r>
      <w:r>
        <w:rPr>
          <w:rFonts w:hint="eastAsia" w:ascii="仿宋_GB2312"/>
          <w:szCs w:val="30"/>
        </w:rPr>
        <w:t>“</w:t>
      </w:r>
      <w:r>
        <w:rPr>
          <w:rFonts w:ascii="仿宋_GB2312"/>
          <w:bCs/>
          <w:szCs w:val="30"/>
        </w:rPr>
        <w:t>县</w:t>
      </w:r>
      <w:r>
        <w:rPr>
          <w:rFonts w:ascii="仿宋_GB2312"/>
          <w:bCs/>
          <w:szCs w:val="30"/>
        </w:rPr>
        <w:noBreakHyphen/>
      </w:r>
      <w:r>
        <w:rPr>
          <w:rFonts w:ascii="仿宋_GB2312"/>
          <w:bCs/>
          <w:szCs w:val="30"/>
        </w:rPr>
        <w:t>乡</w:t>
      </w:r>
      <w:r>
        <w:rPr>
          <w:rFonts w:ascii="仿宋_GB2312"/>
          <w:bCs/>
          <w:szCs w:val="30"/>
        </w:rPr>
        <w:noBreakHyphen/>
      </w:r>
      <w:r>
        <w:rPr>
          <w:rFonts w:ascii="仿宋_GB2312"/>
          <w:bCs/>
          <w:szCs w:val="30"/>
        </w:rPr>
        <w:t>村</w:t>
      </w:r>
      <w:r>
        <w:rPr>
          <w:rFonts w:hint="eastAsia" w:ascii="仿宋_GB2312"/>
          <w:szCs w:val="30"/>
        </w:rPr>
        <w:t>”</w:t>
      </w:r>
      <w:r>
        <w:rPr>
          <w:rFonts w:ascii="仿宋_GB2312"/>
          <w:bCs/>
          <w:szCs w:val="30"/>
        </w:rPr>
        <w:t>三级防疫网格，配齐乡镇快速检测设备；落实强制免疫数字化管理，</w:t>
      </w:r>
      <w:r>
        <w:rPr>
          <w:rFonts w:hint="eastAsia" w:ascii="仿宋_GB2312"/>
          <w:bCs/>
          <w:szCs w:val="30"/>
        </w:rPr>
        <w:t>确保</w:t>
      </w:r>
      <w:r>
        <w:rPr>
          <w:rFonts w:ascii="仿宋_GB2312"/>
          <w:bCs/>
          <w:szCs w:val="30"/>
        </w:rPr>
        <w:t>应免密度100%，抗体合格率≥80%；</w:t>
      </w:r>
      <w:r>
        <w:rPr>
          <w:rFonts w:hint="eastAsia" w:ascii="仿宋_GB2312"/>
          <w:bCs/>
          <w:szCs w:val="30"/>
        </w:rPr>
        <w:t>健全物资储备和疫情处置流程，压实联防联控责任</w:t>
      </w:r>
      <w:r>
        <w:rPr>
          <w:rFonts w:ascii="仿宋_GB2312"/>
          <w:bCs/>
          <w:szCs w:val="30"/>
        </w:rPr>
        <w:t>。</w:t>
      </w:r>
    </w:p>
    <w:p>
      <w:pPr>
        <w:ind w:firstLine="600"/>
        <w:rPr>
          <w:rFonts w:ascii="仿宋_GB2312"/>
          <w:bCs/>
          <w:szCs w:val="30"/>
        </w:rPr>
      </w:pPr>
      <w:r>
        <w:rPr>
          <w:rFonts w:ascii="仿宋_GB2312"/>
          <w:bCs/>
          <w:szCs w:val="30"/>
        </w:rPr>
        <w:t>2.建设无疫小区</w:t>
      </w:r>
      <w:r>
        <w:rPr>
          <w:rFonts w:hint="eastAsia" w:ascii="仿宋_GB2312"/>
          <w:bCs/>
          <w:szCs w:val="30"/>
        </w:rPr>
        <w:t>和</w:t>
      </w:r>
      <w:r>
        <w:rPr>
          <w:rFonts w:ascii="仿宋_GB2312"/>
          <w:bCs/>
          <w:szCs w:val="30"/>
        </w:rPr>
        <w:t>生物安全区。推进非洲猪瘟、布病、高致病性禽流感无疫小区创建；规模场配套洗消中心，严格人车物消杀；建立跨区域联防机制，阻断重大疫病输入。</w:t>
      </w:r>
    </w:p>
    <w:p>
      <w:pPr>
        <w:ind w:firstLine="600"/>
      </w:pPr>
      <w:r>
        <w:rPr>
          <w:rFonts w:ascii="仿宋_GB2312"/>
          <w:bCs/>
          <w:szCs w:val="30"/>
        </w:rPr>
        <w:t>3.提升屠宰行业规范化管理水平。扶持屠宰企业向冷链加工转型，配齐低温冷库、恒温配送车辆；完善冷链流通网络，严打屠宰环节违法行为。</w:t>
      </w:r>
    </w:p>
    <w:p>
      <w:pPr>
        <w:pStyle w:val="3"/>
        <w:ind w:firstLine="643"/>
      </w:pPr>
      <w:bookmarkStart w:id="52" w:name="_Toc240753872"/>
      <w:r>
        <w:rPr>
          <w:rFonts w:hint="eastAsia"/>
        </w:rPr>
        <w:t>（三）推进绿色低碳转型，实现产业可持续发展</w:t>
      </w:r>
      <w:bookmarkEnd w:id="52"/>
    </w:p>
    <w:p>
      <w:pPr>
        <w:ind w:firstLine="600"/>
        <w:rPr>
          <w:rFonts w:ascii="仿宋_GB2312" w:hAnsiTheme="majorHAnsi" w:cstheme="majorBidi"/>
          <w:bCs/>
          <w:szCs w:val="30"/>
        </w:rPr>
      </w:pPr>
      <w:r>
        <w:rPr>
          <w:rFonts w:hint="eastAsia" w:ascii="仿宋_GB2312" w:hAnsiTheme="majorHAnsi" w:cstheme="majorBidi"/>
          <w:bCs/>
          <w:szCs w:val="30"/>
        </w:rPr>
        <w:t>1.构建种养平衡机制。依据土地承载力指南，落实“以地定养、种养对接”，优化循环模式；建设粪污集中处理设施，完善田间储液池、还田管网。严格执行消纳地退水浓度管控要求，常态化开展退水水质监管。</w:t>
      </w:r>
    </w:p>
    <w:p>
      <w:pPr>
        <w:ind w:firstLine="600"/>
        <w:rPr>
          <w:rFonts w:ascii="仿宋_GB2312"/>
          <w:bCs/>
        </w:rPr>
      </w:pPr>
      <w:r>
        <w:rPr>
          <w:rFonts w:hint="eastAsia" w:ascii="仿宋_GB2312" w:hAnsiTheme="majorHAnsi" w:cstheme="majorBidi"/>
          <w:bCs/>
          <w:szCs w:val="30"/>
        </w:rPr>
        <w:t>2.规范发展林下生态养殖。在公益林以外林地开展“林</w:t>
      </w:r>
      <w:r>
        <w:rPr>
          <w:rFonts w:hint="eastAsia" w:ascii="仿宋_GB2312" w:hAnsiTheme="majorHAnsi" w:cstheme="majorBidi"/>
          <w:bCs/>
          <w:szCs w:val="30"/>
        </w:rPr>
        <w:noBreakHyphen/>
      </w:r>
      <w:r>
        <w:rPr>
          <w:rFonts w:hint="eastAsia" w:ascii="仿宋_GB2312" w:hAnsiTheme="majorHAnsi" w:cstheme="majorBidi"/>
          <w:bCs/>
          <w:szCs w:val="30"/>
        </w:rPr>
        <w:t>禽”“林</w:t>
      </w:r>
      <w:r>
        <w:rPr>
          <w:rFonts w:hint="eastAsia" w:ascii="仿宋_GB2312" w:hAnsiTheme="majorHAnsi" w:cstheme="majorBidi"/>
          <w:bCs/>
          <w:szCs w:val="30"/>
        </w:rPr>
        <w:noBreakHyphen/>
      </w:r>
      <w:r>
        <w:rPr>
          <w:rFonts w:hint="eastAsia" w:ascii="仿宋_GB2312" w:hAnsiTheme="majorHAnsi" w:cstheme="majorBidi"/>
          <w:bCs/>
          <w:szCs w:val="30"/>
        </w:rPr>
        <w:t>蜂”立体种养，执行每亩载禽≤50羽标准；建立林下产品溯源系统；培育蜂业合作社，完善蜂蜜分级加工规范。</w:t>
      </w:r>
      <w:r>
        <w:rPr>
          <w:rFonts w:ascii="Cambria Math" w:hAnsi="Cambria Math" w:cs="Cambria Math"/>
          <w:bCs/>
        </w:rPr>
        <w:t>​</w:t>
      </w:r>
    </w:p>
    <w:p>
      <w:pPr>
        <w:pStyle w:val="3"/>
        <w:ind w:firstLine="643"/>
      </w:pPr>
      <w:bookmarkStart w:id="53" w:name="_Toc240753873"/>
      <w:bookmarkStart w:id="54" w:name="OLE_LINK8"/>
      <w:r>
        <w:rPr>
          <w:rFonts w:hint="eastAsia"/>
        </w:rPr>
        <w:t>（四）强化科技创新驱动，提升产业核心竞争力</w:t>
      </w:r>
      <w:r>
        <w:t>​</w:t>
      </w:r>
      <w:bookmarkEnd w:id="53"/>
    </w:p>
    <w:p>
      <w:pPr>
        <w:ind w:firstLine="600"/>
        <w:rPr>
          <w:rFonts w:ascii="仿宋_GB2312" w:hAnsiTheme="majorHAnsi" w:cstheme="majorBidi"/>
          <w:bCs/>
          <w:szCs w:val="30"/>
        </w:rPr>
      </w:pPr>
      <w:r>
        <w:rPr>
          <w:rFonts w:ascii="仿宋_GB2312" w:hAnsiTheme="majorHAnsi" w:cstheme="majorBidi"/>
          <w:bCs/>
          <w:szCs w:val="30"/>
        </w:rPr>
        <w:t>1.地方种质资源保护与利用。压实福建同一农牧有限公司毛脚鸡保种场主体责任，按照NY/T1901</w:t>
      </w:r>
      <w:r>
        <w:rPr>
          <w:rFonts w:ascii="仿宋_GB2312" w:hAnsiTheme="majorHAnsi" w:cstheme="majorBidi"/>
          <w:bCs/>
          <w:szCs w:val="30"/>
        </w:rPr>
        <w:noBreakHyphen/>
      </w:r>
      <w:r>
        <w:rPr>
          <w:rFonts w:ascii="仿宋_GB2312" w:hAnsiTheme="majorHAnsi" w:cstheme="majorBidi"/>
          <w:bCs/>
          <w:szCs w:val="30"/>
        </w:rPr>
        <w:t>2010规范开展保种，维持品种遗传多样性；配合省、市开展性能测定，挖掘优异种质基因。</w:t>
      </w:r>
    </w:p>
    <w:p>
      <w:pPr>
        <w:ind w:firstLine="600"/>
        <w:rPr>
          <w:rFonts w:ascii="仿宋_GB2312" w:hAnsiTheme="majorHAnsi" w:cstheme="majorBidi"/>
          <w:bCs/>
          <w:szCs w:val="30"/>
        </w:rPr>
      </w:pPr>
      <w:r>
        <w:rPr>
          <w:rFonts w:ascii="仿宋_GB2312" w:hAnsiTheme="majorHAnsi" w:cstheme="majorBidi"/>
          <w:bCs/>
          <w:szCs w:val="30"/>
        </w:rPr>
        <w:t>2.构建产学研协同科技创新体系。推动养殖企业与福建农林大学、福建省农科院共建研发平台，构建企业主导、产学研一体的畜牧科技创新体系。</w:t>
      </w:r>
    </w:p>
    <w:p>
      <w:pPr>
        <w:ind w:firstLine="600"/>
        <w:rPr>
          <w:rFonts w:ascii="仿宋_GB2312" w:hAnsiTheme="majorHAnsi" w:cstheme="majorBidi"/>
          <w:bCs/>
          <w:szCs w:val="30"/>
        </w:rPr>
      </w:pPr>
      <w:r>
        <w:rPr>
          <w:rFonts w:ascii="仿宋_GB2312" w:hAnsiTheme="majorHAnsi" w:cstheme="majorBidi"/>
          <w:bCs/>
          <w:szCs w:val="30"/>
        </w:rPr>
        <w:t>3.加速科技成果转化落地。搭建</w:t>
      </w:r>
      <w:r>
        <w:rPr>
          <w:rFonts w:hint="eastAsia" w:ascii="仿宋_GB2312" w:hAnsiTheme="majorHAnsi" w:cstheme="majorBidi"/>
          <w:bCs/>
          <w:szCs w:val="30"/>
        </w:rPr>
        <w:t>“</w:t>
      </w:r>
      <w:r>
        <w:rPr>
          <w:rFonts w:ascii="仿宋_GB2312" w:hAnsiTheme="majorHAnsi" w:cstheme="majorBidi"/>
          <w:bCs/>
          <w:szCs w:val="30"/>
        </w:rPr>
        <w:t>专家</w:t>
      </w:r>
      <w:r>
        <w:rPr>
          <w:rFonts w:ascii="仿宋_GB2312" w:hAnsiTheme="majorHAnsi" w:cstheme="majorBidi"/>
          <w:bCs/>
          <w:szCs w:val="30"/>
        </w:rPr>
        <w:noBreakHyphen/>
      </w:r>
      <w:r>
        <w:rPr>
          <w:rFonts w:ascii="仿宋_GB2312" w:hAnsiTheme="majorHAnsi" w:cstheme="majorBidi"/>
          <w:bCs/>
          <w:szCs w:val="30"/>
        </w:rPr>
        <w:t>骨干</w:t>
      </w:r>
      <w:r>
        <w:rPr>
          <w:rFonts w:ascii="仿宋_GB2312" w:hAnsiTheme="majorHAnsi" w:cstheme="majorBidi"/>
          <w:bCs/>
          <w:szCs w:val="30"/>
        </w:rPr>
        <w:noBreakHyphen/>
      </w:r>
      <w:r>
        <w:rPr>
          <w:rFonts w:ascii="仿宋_GB2312" w:hAnsiTheme="majorHAnsi" w:cstheme="majorBidi"/>
          <w:bCs/>
          <w:szCs w:val="30"/>
        </w:rPr>
        <w:t>基地</w:t>
      </w:r>
      <w:r>
        <w:rPr>
          <w:rFonts w:hint="eastAsia" w:ascii="仿宋_GB2312" w:hAnsiTheme="majorHAnsi" w:cstheme="majorBidi"/>
          <w:bCs/>
          <w:szCs w:val="30"/>
        </w:rPr>
        <w:t>”</w:t>
      </w:r>
      <w:r>
        <w:rPr>
          <w:rFonts w:ascii="仿宋_GB2312" w:hAnsiTheme="majorHAnsi" w:cstheme="majorBidi"/>
          <w:bCs/>
          <w:szCs w:val="30"/>
        </w:rPr>
        <w:t>技术推广链条；建设成果转化示范区，推广粪污处理、智能养殖等关键技术，</w:t>
      </w:r>
      <w:r>
        <w:rPr>
          <w:rFonts w:hint="eastAsia" w:ascii="仿宋_GB2312" w:hAnsiTheme="majorHAnsi" w:cstheme="majorBidi"/>
          <w:bCs/>
          <w:szCs w:val="30"/>
        </w:rPr>
        <w:t>提高</w:t>
      </w:r>
      <w:r>
        <w:rPr>
          <w:rFonts w:ascii="仿宋_GB2312" w:hAnsiTheme="majorHAnsi" w:cstheme="majorBidi"/>
          <w:bCs/>
          <w:szCs w:val="30"/>
        </w:rPr>
        <w:t>技术到位率与养殖效益。</w:t>
      </w:r>
    </w:p>
    <w:p>
      <w:pPr>
        <w:ind w:firstLine="600"/>
        <w:rPr>
          <w:rFonts w:ascii="仿宋_GB2312" w:hAnsiTheme="majorHAnsi" w:cstheme="majorBidi"/>
          <w:bCs/>
          <w:szCs w:val="30"/>
        </w:rPr>
      </w:pPr>
      <w:r>
        <w:rPr>
          <w:rFonts w:ascii="仿宋_GB2312" w:hAnsiTheme="majorHAnsi" w:cstheme="majorBidi"/>
          <w:bCs/>
          <w:szCs w:val="30"/>
        </w:rPr>
        <w:t>4.加强畜牧从业人员队伍建设。引进高层次畜牧人才，面向经营主体开展技术培训；常态化开展执法队伍业务培训，提升监管能力</w:t>
      </w:r>
      <w:bookmarkEnd w:id="54"/>
      <w:r>
        <w:rPr>
          <w:rFonts w:ascii="仿宋_GB2312" w:hAnsiTheme="majorHAnsi" w:cstheme="majorBidi"/>
          <w:bCs/>
          <w:szCs w:val="30"/>
        </w:rPr>
        <w:t>。</w:t>
      </w:r>
    </w:p>
    <w:p>
      <w:pPr>
        <w:pStyle w:val="3"/>
        <w:ind w:firstLine="643"/>
      </w:pPr>
      <w:bookmarkStart w:id="55" w:name="_Toc240753874"/>
      <w:r>
        <w:rPr>
          <w:rFonts w:hint="eastAsia"/>
        </w:rPr>
        <w:t>（五）加速数字化转型，推进智慧牧场建设</w:t>
      </w:r>
      <w:bookmarkEnd w:id="55"/>
    </w:p>
    <w:p>
      <w:pPr>
        <w:ind w:firstLine="600"/>
        <w:rPr>
          <w:rFonts w:ascii="仿宋_GB2312" w:hAnsiTheme="majorHAnsi" w:cstheme="majorBidi"/>
          <w:bCs/>
          <w:szCs w:val="30"/>
        </w:rPr>
      </w:pPr>
      <w:r>
        <w:rPr>
          <w:rFonts w:hint="eastAsia" w:ascii="仿宋_GB2312" w:hAnsiTheme="majorHAnsi" w:cstheme="majorBidi"/>
          <w:bCs/>
          <w:szCs w:val="30"/>
        </w:rPr>
        <w:t>1.集成应用机械化与智能化装备。出台扶持政策，推广工程防疫、智能环控装备；建设全程机械化示范养殖场。</w:t>
      </w:r>
    </w:p>
    <w:p>
      <w:pPr>
        <w:ind w:firstLine="600"/>
        <w:rPr>
          <w:rFonts w:ascii="仿宋_GB2312" w:hAnsiTheme="majorHAnsi" w:cstheme="majorBidi"/>
          <w:bCs/>
          <w:szCs w:val="30"/>
        </w:rPr>
      </w:pPr>
      <w:r>
        <w:rPr>
          <w:rFonts w:hint="eastAsia" w:ascii="仿宋_GB2312" w:hAnsiTheme="majorHAnsi" w:cstheme="majorBidi"/>
          <w:bCs/>
          <w:szCs w:val="30"/>
        </w:rPr>
        <w:t>2.建设智慧畜牧业示范基地。建设机械化信息化融合示范场，运用物联网实现圈舍调控、饲喂管理、疫病监测、产品追溯智能化；推动5G、人工智能（AI）与畜牧业深度融合。</w:t>
      </w:r>
    </w:p>
    <w:p>
      <w:pPr>
        <w:ind w:firstLine="600"/>
        <w:rPr>
          <w:rFonts w:ascii="仿宋_GB2312" w:hAnsiTheme="majorHAnsi" w:cstheme="majorBidi"/>
          <w:bCs/>
          <w:szCs w:val="30"/>
        </w:rPr>
      </w:pPr>
      <w:r>
        <w:rPr>
          <w:rFonts w:hint="eastAsia" w:ascii="仿宋_GB2312" w:hAnsiTheme="majorHAnsi" w:cstheme="majorBidi"/>
          <w:bCs/>
          <w:szCs w:val="30"/>
        </w:rPr>
        <w:t>3.构建智慧畜牧云平台。争取上级资金支持，建设县级畜牧大数据中心；开发移动端服务系统，打通养殖、防疫、检疫、屠宰、无害化处理全链条数据，形成闭环。</w:t>
      </w:r>
    </w:p>
    <w:p>
      <w:pPr>
        <w:pStyle w:val="3"/>
        <w:ind w:firstLine="643"/>
      </w:pPr>
      <w:bookmarkStart w:id="56" w:name="_Toc240753875"/>
      <w:r>
        <w:t>（六）优化产业服务体系，营造良好发展生态</w:t>
      </w:r>
      <w:bookmarkEnd w:id="56"/>
    </w:p>
    <w:p>
      <w:pPr>
        <w:ind w:firstLine="600"/>
        <w:rPr>
          <w:rFonts w:ascii="仿宋_GB2312" w:hAnsiTheme="majorHAnsi" w:cstheme="majorBidi"/>
          <w:bCs/>
          <w:szCs w:val="30"/>
        </w:rPr>
      </w:pPr>
      <w:r>
        <w:rPr>
          <w:rFonts w:hint="eastAsia" w:ascii="仿宋_GB2312" w:hAnsiTheme="majorHAnsi" w:cstheme="majorBidi"/>
          <w:bCs/>
          <w:szCs w:val="30"/>
        </w:rPr>
        <w:t>1.提升基层畜牧兽医服务能力。健全“县</w:t>
      </w:r>
      <w:r>
        <w:rPr>
          <w:rFonts w:hint="eastAsia" w:ascii="仿宋_GB2312" w:hAnsiTheme="majorHAnsi" w:cstheme="majorBidi"/>
          <w:bCs/>
          <w:szCs w:val="30"/>
        </w:rPr>
        <w:noBreakHyphen/>
      </w:r>
      <w:r>
        <w:rPr>
          <w:rFonts w:hint="eastAsia" w:ascii="仿宋_GB2312" w:hAnsiTheme="majorHAnsi" w:cstheme="majorBidi"/>
          <w:bCs/>
          <w:szCs w:val="30"/>
        </w:rPr>
        <w:t>乡</w:t>
      </w:r>
      <w:r>
        <w:rPr>
          <w:rFonts w:hint="eastAsia" w:ascii="仿宋_GB2312" w:hAnsiTheme="majorHAnsi" w:cstheme="majorBidi"/>
          <w:bCs/>
          <w:szCs w:val="30"/>
        </w:rPr>
        <w:noBreakHyphen/>
      </w:r>
      <w:r>
        <w:rPr>
          <w:rFonts w:hint="eastAsia" w:ascii="仿宋_GB2312" w:hAnsiTheme="majorHAnsi" w:cstheme="majorBidi"/>
          <w:bCs/>
          <w:szCs w:val="30"/>
        </w:rPr>
        <w:t>村”三级兽医网络，升级乡镇站检测装备；推行村级防疫员职业化，引导多元主体参与兽医服务。</w:t>
      </w:r>
    </w:p>
    <w:p>
      <w:pPr>
        <w:ind w:firstLine="600"/>
        <w:rPr>
          <w:rFonts w:ascii="仿宋_GB2312" w:hAnsiTheme="majorHAnsi" w:cstheme="majorBidi"/>
          <w:bCs/>
          <w:szCs w:val="30"/>
        </w:rPr>
      </w:pPr>
      <w:r>
        <w:rPr>
          <w:rFonts w:hint="eastAsia" w:ascii="仿宋_GB2312" w:hAnsiTheme="majorHAnsi" w:cstheme="majorBidi"/>
          <w:bCs/>
          <w:szCs w:val="30"/>
        </w:rPr>
        <w:t>2.培育社会化服务主体。鼓励龙头企业、合作社组建畜牧服务联盟，提供疫病检测、饲料配送等菜单式服务；支持科研机构开展技术咨询与继续教育。</w:t>
      </w:r>
    </w:p>
    <w:p>
      <w:pPr>
        <w:ind w:firstLine="600"/>
        <w:rPr>
          <w:rFonts w:ascii="仿宋_GB2312" w:hAnsiTheme="majorHAnsi" w:cstheme="majorBidi"/>
          <w:bCs/>
          <w:szCs w:val="30"/>
        </w:rPr>
      </w:pPr>
      <w:r>
        <w:rPr>
          <w:rFonts w:hint="eastAsia" w:ascii="仿宋_GB2312" w:hAnsiTheme="majorHAnsi" w:cstheme="majorBidi"/>
          <w:bCs/>
          <w:szCs w:val="30"/>
        </w:rPr>
        <w:t>3.实施品牌战略。打造“闽清生态畜牧”区域公用品牌，制定品牌准入标准；推进“三品一标”认证和商标培育；拓展线上线下营销渠道，力争品牌产品溢价率≥30%。</w:t>
      </w:r>
    </w:p>
    <w:bookmarkEnd w:id="28"/>
    <w:p>
      <w:pPr>
        <w:pStyle w:val="2"/>
        <w:ind w:firstLine="643"/>
      </w:pPr>
      <w:bookmarkStart w:id="57" w:name="_Toc240753876"/>
      <w:bookmarkStart w:id="58" w:name="OLE_LINK77"/>
      <w:r>
        <w:rPr>
          <w:rFonts w:hint="eastAsia"/>
        </w:rPr>
        <w:t>七、重点工程</w:t>
      </w:r>
      <w:bookmarkEnd w:id="57"/>
    </w:p>
    <w:p>
      <w:pPr>
        <w:pStyle w:val="3"/>
        <w:ind w:firstLine="643"/>
      </w:pPr>
      <w:bookmarkStart w:id="59" w:name="_Toc240753877"/>
      <w:r>
        <w:t>（一）生态升级工程</w:t>
      </w:r>
      <w:bookmarkEnd w:id="59"/>
    </w:p>
    <w:p>
      <w:pPr>
        <w:ind w:firstLine="600"/>
        <w:rPr>
          <w:rFonts w:ascii="仿宋_GB2312" w:hAnsiTheme="majorHAnsi" w:cstheme="majorBidi"/>
          <w:bCs/>
          <w:szCs w:val="30"/>
        </w:rPr>
      </w:pPr>
      <w:r>
        <w:rPr>
          <w:rFonts w:hint="eastAsia" w:ascii="仿宋_GB2312" w:hAnsiTheme="majorHAnsi" w:cstheme="majorBidi"/>
          <w:bCs/>
          <w:szCs w:val="30"/>
        </w:rPr>
        <w:t>推进畜禽粪污资源化利用精细化管理，对照闽环发〔2023〕8号、农办牧〔2022〕19号文件要求，实施粪污贮存、堆肥、资源化设施“三提升”，配套液体粪肥输送管网</w:t>
      </w:r>
      <w:r>
        <w:rPr>
          <w:rFonts w:ascii="仿宋_GB2312" w:hAnsiTheme="majorHAnsi" w:cstheme="majorBidi"/>
          <w:bCs/>
          <w:szCs w:val="30"/>
        </w:rPr>
        <w:t>和</w:t>
      </w:r>
      <w:r>
        <w:rPr>
          <w:rFonts w:hint="eastAsia" w:ascii="仿宋_GB2312" w:hAnsiTheme="majorHAnsi" w:cstheme="majorBidi"/>
          <w:bCs/>
          <w:szCs w:val="30"/>
        </w:rPr>
        <w:t>田间林间储液池。严格执行DB35/T2078标准，推行“粪污处理</w:t>
      </w:r>
      <w:r>
        <w:rPr>
          <w:rFonts w:ascii="仿宋_GB2312" w:hAnsiTheme="majorHAnsi" w:cstheme="majorBidi"/>
          <w:bCs/>
          <w:szCs w:val="30"/>
        </w:rPr>
        <w:t>+</w:t>
      </w:r>
      <w:r>
        <w:rPr>
          <w:rFonts w:hint="eastAsia" w:ascii="仿宋_GB2312" w:hAnsiTheme="majorHAnsi" w:cstheme="majorBidi"/>
          <w:bCs/>
          <w:szCs w:val="30"/>
        </w:rPr>
        <w:t>土壤检测</w:t>
      </w:r>
      <w:r>
        <w:rPr>
          <w:rFonts w:ascii="仿宋_GB2312" w:hAnsiTheme="majorHAnsi" w:cstheme="majorBidi"/>
          <w:bCs/>
          <w:szCs w:val="30"/>
        </w:rPr>
        <w:t>+</w:t>
      </w:r>
      <w:r>
        <w:rPr>
          <w:rFonts w:hint="eastAsia" w:ascii="仿宋_GB2312" w:hAnsiTheme="majorHAnsi" w:cstheme="majorBidi"/>
          <w:bCs/>
          <w:szCs w:val="30"/>
        </w:rPr>
        <w:t>精准施用”闭环模式，规范粪污台账，落实液体粪肥施用全覆盖。推进2</w:t>
      </w:r>
      <w:r>
        <w:rPr>
          <w:rFonts w:hint="eastAsia" w:ascii="仿宋_GB2312" w:hAnsiTheme="majorHAnsi" w:cstheme="majorBidi"/>
          <w:bCs/>
          <w:szCs w:val="30"/>
        </w:rPr>
        <w:noBreakHyphen/>
      </w:r>
      <w:r>
        <w:rPr>
          <w:rFonts w:hint="eastAsia" w:ascii="仿宋_GB2312" w:hAnsiTheme="majorHAnsi" w:cstheme="majorBidi"/>
          <w:bCs/>
          <w:szCs w:val="30"/>
        </w:rPr>
        <w:t>5家大型规模养殖场粪污配套设施建设，完善还田喷灌设施。依据禁养区划定方案和水质提升攻坚方案强化流域监管。</w:t>
      </w:r>
    </w:p>
    <w:p>
      <w:pPr>
        <w:pStyle w:val="3"/>
        <w:ind w:firstLine="643"/>
      </w:pPr>
      <w:bookmarkStart w:id="60" w:name="_Toc240753878"/>
      <w:r>
        <w:t>（二）安全强化工程</w:t>
      </w:r>
      <w:bookmarkEnd w:id="60"/>
    </w:p>
    <w:p>
      <w:pPr>
        <w:ind w:firstLine="600"/>
        <w:rPr>
          <w:rFonts w:ascii="仿宋_GB2312" w:hAnsiTheme="majorHAnsi" w:cstheme="majorBidi"/>
          <w:bCs/>
          <w:szCs w:val="30"/>
        </w:rPr>
      </w:pPr>
      <w:r>
        <w:rPr>
          <w:rFonts w:ascii="仿宋_GB2312" w:hAnsiTheme="majorHAnsi" w:cstheme="majorBidi"/>
          <w:bCs/>
          <w:szCs w:val="30"/>
        </w:rPr>
        <w:t>建立农业农村、生态环境部门联合执法机制，严厉打击粪污偷排、泄漏违法行为，将粪污处置情况纳入养殖场信用评价，实施奖惩约束。搭建疫病监测预警平台，落实强制免疫，确保群体免疫密度≥90%、抗体合格率≥80%，病死畜禽无害化处理率100%。实行猪当量总量管控，因地制宜分区布局，消纳能力强的区域适度发展生猪，生态敏感区侧重发展蛋禽</w:t>
      </w:r>
      <w:r>
        <w:rPr>
          <w:rFonts w:hint="eastAsia" w:ascii="仿宋_GB2312" w:hAnsiTheme="majorHAnsi" w:cstheme="majorBidi"/>
          <w:bCs/>
          <w:szCs w:val="30"/>
        </w:rPr>
        <w:t>和</w:t>
      </w:r>
      <w:r>
        <w:rPr>
          <w:rFonts w:ascii="仿宋_GB2312" w:hAnsiTheme="majorHAnsi" w:cstheme="majorBidi"/>
          <w:bCs/>
          <w:szCs w:val="30"/>
        </w:rPr>
        <w:t>林下养禽。</w:t>
      </w:r>
    </w:p>
    <w:p>
      <w:pPr>
        <w:pStyle w:val="3"/>
        <w:ind w:firstLine="643"/>
      </w:pPr>
      <w:bookmarkStart w:id="61" w:name="_Toc240753879"/>
      <w:r>
        <w:t>（三）服务配套工程</w:t>
      </w:r>
      <w:bookmarkEnd w:id="61"/>
    </w:p>
    <w:p>
      <w:pPr>
        <w:ind w:firstLine="600"/>
        <w:rPr>
          <w:rFonts w:ascii="仿宋_GB2312" w:hAnsiTheme="majorHAnsi" w:cstheme="majorBidi"/>
          <w:bCs/>
          <w:szCs w:val="30"/>
        </w:rPr>
      </w:pPr>
      <w:r>
        <w:rPr>
          <w:rFonts w:ascii="仿宋_GB2312" w:hAnsiTheme="majorHAnsi" w:cstheme="majorBidi"/>
          <w:bCs/>
          <w:szCs w:val="30"/>
        </w:rPr>
        <w:t>组织技术人员下沉基层，普及养殖升级、疫病防控、粪污设施运维、种养循环等实用技术。依托省、市、县专项培训资源，对县乡兽医、规模场技术骨干开展标准化生产、智能设备运维、实验室检测等培训，联动开展跨区域业务交流，全面提升专业队伍实操能力。</w:t>
      </w:r>
    </w:p>
    <w:p>
      <w:pPr>
        <w:pStyle w:val="3"/>
        <w:ind w:firstLine="643"/>
      </w:pPr>
      <w:bookmarkStart w:id="62" w:name="_Toc240753880"/>
      <w:r>
        <w:t>（四）产业结构优化工程</w:t>
      </w:r>
      <w:bookmarkEnd w:id="62"/>
    </w:p>
    <w:p>
      <w:pPr>
        <w:ind w:firstLine="600"/>
        <w:rPr>
          <w:rFonts w:ascii="仿宋_GB2312" w:hAnsiTheme="majorHAnsi" w:cstheme="majorBidi"/>
          <w:bCs/>
          <w:szCs w:val="30"/>
        </w:rPr>
      </w:pPr>
      <w:r>
        <w:rPr>
          <w:rFonts w:ascii="仿宋_GB2312" w:hAnsiTheme="majorHAnsi" w:cstheme="majorBidi"/>
          <w:bCs/>
          <w:szCs w:val="30"/>
        </w:rPr>
        <w:t>严守养殖规模红线，优化养殖结构，加大对肉牛、山羊、闽清毛脚鸡等特色品种扶持力度，推动产业多元化。实施分区差异化布局，在土地条件优越区域打造生猪标准化基地，在生态敏感区发展生态家禽。依托优势片区培育产业集群，完善饲料、屠宰、冷链、电商等配套，延伸产业链，提升产品附加值。</w:t>
      </w:r>
    </w:p>
    <w:p>
      <w:pPr>
        <w:pStyle w:val="3"/>
        <w:ind w:firstLine="643"/>
      </w:pPr>
      <w:bookmarkStart w:id="63" w:name="_Toc240753881"/>
      <w:r>
        <w:t>（五）科技支撑工程</w:t>
      </w:r>
      <w:bookmarkEnd w:id="63"/>
    </w:p>
    <w:p>
      <w:pPr>
        <w:ind w:firstLine="600"/>
        <w:rPr>
          <w:rFonts w:ascii="仿宋_GB2312" w:hAnsiTheme="majorHAnsi" w:cstheme="majorBidi"/>
          <w:bCs/>
          <w:szCs w:val="30"/>
        </w:rPr>
      </w:pPr>
      <w:r>
        <w:rPr>
          <w:rFonts w:ascii="仿宋_GB2312" w:hAnsiTheme="majorHAnsi" w:cstheme="majorBidi"/>
          <w:bCs/>
          <w:szCs w:val="30"/>
        </w:rPr>
        <w:t>推动养殖企业与农林院校、科研院所开展产学研合作，推广先进养殖技术。集成示范新品种、新工艺、新装备，联合科研单位开展地方畜禽品种选育、低抗养殖技术研究。积极争取上级财政资金，用好县级农业专项资金；创新畜牧金融产品，扩大养殖保险覆盖面，破解经营主体融资难题。</w:t>
      </w:r>
    </w:p>
    <w:p>
      <w:pPr>
        <w:pStyle w:val="3"/>
        <w:ind w:firstLine="643"/>
      </w:pPr>
      <w:bookmarkStart w:id="64" w:name="_Toc240753882"/>
      <w:r>
        <w:t>（六）智慧牧场建设工程</w:t>
      </w:r>
      <w:bookmarkEnd w:id="64"/>
    </w:p>
    <w:p>
      <w:pPr>
        <w:ind w:firstLine="600"/>
        <w:rPr>
          <w:rFonts w:ascii="仿宋_GB2312" w:hAnsiTheme="majorHAnsi" w:cstheme="majorBidi"/>
          <w:bCs/>
          <w:szCs w:val="30"/>
        </w:rPr>
      </w:pPr>
      <w:r>
        <w:rPr>
          <w:rFonts w:ascii="仿宋_GB2312" w:hAnsiTheme="majorHAnsi" w:cstheme="majorBidi"/>
          <w:bCs/>
          <w:szCs w:val="30"/>
        </w:rPr>
        <w:t>引导生猪、蛋禽规模场改造升级，推广环境智能调控、畜禽生长监测、精准饲喂装备。优先在重点乡镇试点智能化、节水节料、干清粪、微生物发酵等工艺，探索无人化养殖模式。建设县级畜牧业大数据中心，构建市场</w:t>
      </w:r>
      <w:r>
        <w:rPr>
          <w:rFonts w:hint="eastAsia" w:ascii="仿宋_GB2312" w:hAnsiTheme="majorHAnsi" w:cstheme="majorBidi"/>
          <w:bCs/>
          <w:szCs w:val="30"/>
        </w:rPr>
        <w:t>和</w:t>
      </w:r>
      <w:r>
        <w:rPr>
          <w:rFonts w:ascii="仿宋_GB2312" w:hAnsiTheme="majorHAnsi" w:cstheme="majorBidi"/>
          <w:bCs/>
          <w:szCs w:val="30"/>
        </w:rPr>
        <w:t>疫病预警模型。</w:t>
      </w:r>
    </w:p>
    <w:p>
      <w:pPr>
        <w:pStyle w:val="3"/>
        <w:ind w:firstLine="643"/>
      </w:pPr>
      <w:bookmarkStart w:id="65" w:name="_Toc240753883"/>
      <w:r>
        <w:t>（七）品牌建设与市场拓展工程</w:t>
      </w:r>
      <w:bookmarkEnd w:id="65"/>
    </w:p>
    <w:p>
      <w:pPr>
        <w:ind w:firstLine="600"/>
        <w:rPr>
          <w:b/>
          <w:bCs/>
        </w:rPr>
      </w:pPr>
      <w:r>
        <w:rPr>
          <w:rFonts w:hint="eastAsia" w:ascii="仿宋_GB2312" w:hAnsiTheme="majorHAnsi" w:cstheme="majorBidi"/>
          <w:bCs/>
          <w:szCs w:val="30"/>
        </w:rPr>
        <w:t>构建“闽清生态畜牧”区域公用品牌，统一品牌使用标准，推进地理标志申报。引进培育精深加工主体，开发冷鲜肉、功能蛋、闽清毛脚鸡深加工产品和畜禽预制菜。搭建线上营销平台，开展直播电商、社区团购；对接商超、餐饮连锁，在福州等城市设立直销窗口；探索跨境电商，谋划出口示范区建设，拓宽外销渠道。</w:t>
      </w:r>
      <w:bookmarkEnd w:id="58"/>
    </w:p>
    <w:tbl>
      <w:tblPr>
        <w:tblStyle w:val="51"/>
        <w:tblW w:w="0" w:type="auto"/>
        <w:tblInd w:w="0" w:type="dxa"/>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Layout w:type="autofit"/>
        <w:tblCellMar>
          <w:top w:w="0" w:type="dxa"/>
          <w:left w:w="108" w:type="dxa"/>
          <w:bottom w:w="0" w:type="dxa"/>
          <w:right w:w="108" w:type="dxa"/>
        </w:tblCellMar>
      </w:tblPr>
      <w:tblGrid>
        <w:gridCol w:w="2972"/>
        <w:gridCol w:w="2693"/>
        <w:gridCol w:w="2631"/>
      </w:tblGrid>
      <w:tr>
        <w:tblPrEx>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c>
          <w:tcPr>
            <w:tcW w:w="0" w:type="auto"/>
            <w:gridSpan w:val="3"/>
            <w:tcBorders>
              <w:bottom w:val="nil"/>
            </w:tcBorders>
          </w:tcPr>
          <w:p>
            <w:pPr>
              <w:ind w:firstLine="0" w:firstLineChars="0"/>
              <w:jc w:val="center"/>
              <w:rPr>
                <w:b/>
                <w:bCs/>
              </w:rPr>
            </w:pPr>
            <w:r>
              <w:rPr>
                <w:b/>
                <w:bCs/>
              </w:rPr>
              <w:t>专栏五 畜牧业生产环境影响评估</w:t>
            </w:r>
          </w:p>
        </w:tc>
      </w:tr>
      <w:tr>
        <w:tblPrEx>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c>
          <w:tcPr>
            <w:tcW w:w="2972" w:type="dxa"/>
          </w:tcPr>
          <w:p>
            <w:pPr>
              <w:ind w:firstLine="0" w:firstLineChars="0"/>
              <w:jc w:val="center"/>
              <w:rPr>
                <w:b/>
                <w:bCs/>
                <w:sz w:val="28"/>
                <w:szCs w:val="28"/>
              </w:rPr>
            </w:pPr>
            <w:r>
              <w:rPr>
                <w:b/>
                <w:bCs/>
                <w:sz w:val="28"/>
                <w:szCs w:val="28"/>
              </w:rPr>
              <w:t>环境条件分析</w:t>
            </w:r>
          </w:p>
        </w:tc>
        <w:tc>
          <w:tcPr>
            <w:tcW w:w="2693" w:type="dxa"/>
          </w:tcPr>
          <w:p>
            <w:pPr>
              <w:ind w:firstLine="0" w:firstLineChars="0"/>
              <w:jc w:val="center"/>
              <w:rPr>
                <w:b/>
                <w:bCs/>
                <w:sz w:val="28"/>
                <w:szCs w:val="28"/>
              </w:rPr>
            </w:pPr>
            <w:r>
              <w:rPr>
                <w:b/>
                <w:bCs/>
                <w:sz w:val="28"/>
                <w:szCs w:val="28"/>
              </w:rPr>
              <w:t>环境影响分析</w:t>
            </w:r>
          </w:p>
        </w:tc>
        <w:tc>
          <w:tcPr>
            <w:tcW w:w="2631" w:type="dxa"/>
          </w:tcPr>
          <w:p>
            <w:pPr>
              <w:ind w:firstLine="0" w:firstLineChars="0"/>
              <w:jc w:val="center"/>
              <w:rPr>
                <w:b/>
                <w:bCs/>
                <w:sz w:val="28"/>
                <w:szCs w:val="28"/>
              </w:rPr>
            </w:pPr>
            <w:r>
              <w:rPr>
                <w:b/>
                <w:bCs/>
                <w:sz w:val="28"/>
                <w:szCs w:val="28"/>
              </w:rPr>
              <w:t>环境基本对策</w:t>
            </w:r>
          </w:p>
        </w:tc>
      </w:tr>
      <w:tr>
        <w:tblPrEx>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c>
          <w:tcPr>
            <w:tcW w:w="2972" w:type="dxa"/>
          </w:tcPr>
          <w:p>
            <w:pPr>
              <w:topLinePunct/>
              <w:autoSpaceDE w:val="0"/>
              <w:autoSpaceDN w:val="0"/>
              <w:adjustRightInd w:val="0"/>
              <w:snapToGrid w:val="0"/>
              <w:spacing w:line="240" w:lineRule="auto"/>
              <w:ind w:firstLine="560"/>
              <w:rPr>
                <w:rFonts w:ascii="仿宋_GB2312"/>
                <w:b/>
                <w:bCs/>
                <w:sz w:val="28"/>
                <w:szCs w:val="28"/>
              </w:rPr>
            </w:pPr>
            <w:r>
              <w:rPr>
                <w:rFonts w:hint="eastAsia" w:ascii="仿宋_GB2312"/>
                <w:b w:val="0"/>
                <w:bCs w:val="0"/>
                <w:sz w:val="28"/>
                <w:szCs w:val="28"/>
              </w:rPr>
              <w:t>1.种养循环基础扎实，全县畜禽粪污资源化利用率高，规模养殖场粪污设施配套率100%，“猪</w:t>
            </w:r>
            <w:r>
              <w:rPr>
                <w:rFonts w:hint="eastAsia" w:ascii="仿宋_GB2312"/>
                <w:b w:val="0"/>
                <w:bCs w:val="0"/>
                <w:sz w:val="28"/>
                <w:szCs w:val="28"/>
              </w:rPr>
              <w:noBreakHyphen/>
            </w:r>
            <w:r>
              <w:rPr>
                <w:rFonts w:hint="eastAsia" w:ascii="仿宋_GB2312"/>
                <w:b w:val="0"/>
                <w:bCs w:val="0"/>
                <w:sz w:val="28"/>
                <w:szCs w:val="28"/>
              </w:rPr>
              <w:t>沼</w:t>
            </w:r>
            <w:r>
              <w:rPr>
                <w:rFonts w:hint="eastAsia" w:ascii="仿宋_GB2312"/>
                <w:b w:val="0"/>
                <w:bCs w:val="0"/>
                <w:sz w:val="28"/>
                <w:szCs w:val="28"/>
              </w:rPr>
              <w:noBreakHyphen/>
            </w:r>
            <w:r>
              <w:rPr>
                <w:rFonts w:hint="eastAsia" w:ascii="仿宋_GB2312"/>
                <w:b w:val="0"/>
                <w:bCs w:val="0"/>
                <w:sz w:val="28"/>
                <w:szCs w:val="28"/>
              </w:rPr>
              <w:t>果（菜、林）”“林</w:t>
            </w:r>
            <w:r>
              <w:rPr>
                <w:rFonts w:hint="eastAsia" w:ascii="仿宋_GB2312"/>
                <w:b w:val="0"/>
                <w:bCs w:val="0"/>
                <w:sz w:val="28"/>
                <w:szCs w:val="28"/>
              </w:rPr>
              <w:noBreakHyphen/>
            </w:r>
            <w:r>
              <w:rPr>
                <w:rFonts w:hint="eastAsia" w:ascii="仿宋_GB2312"/>
                <w:b w:val="0"/>
                <w:bCs w:val="0"/>
                <w:sz w:val="28"/>
                <w:szCs w:val="28"/>
              </w:rPr>
              <w:t>羊”等循环模式已成熟落地。</w:t>
            </w:r>
          </w:p>
          <w:p>
            <w:pPr>
              <w:topLinePunct/>
              <w:autoSpaceDE w:val="0"/>
              <w:autoSpaceDN w:val="0"/>
              <w:adjustRightInd w:val="0"/>
              <w:snapToGrid w:val="0"/>
              <w:spacing w:line="240" w:lineRule="auto"/>
              <w:ind w:firstLine="560"/>
              <w:rPr>
                <w:rFonts w:ascii="仿宋_GB2312"/>
                <w:b/>
                <w:bCs/>
                <w:sz w:val="28"/>
                <w:szCs w:val="28"/>
              </w:rPr>
            </w:pPr>
            <w:r>
              <w:rPr>
                <w:rFonts w:hint="eastAsia" w:ascii="仿宋_GB2312"/>
                <w:b w:val="0"/>
                <w:bCs w:val="0"/>
                <w:sz w:val="28"/>
                <w:szCs w:val="28"/>
              </w:rPr>
              <w:t>2.生态承载尚有空间，全县耕地、林地、园地理论承载力169.29</w:t>
            </w:r>
            <w:r>
              <w:rPr>
                <w:rFonts w:hint="eastAsia" w:ascii="仿宋_GB2312"/>
                <w:b w:val="0"/>
                <w:bCs w:val="0"/>
                <w:sz w:val="28"/>
                <w:szCs w:val="28"/>
              </w:rPr>
              <w:noBreakHyphen/>
            </w:r>
            <w:r>
              <w:rPr>
                <w:rFonts w:hint="eastAsia" w:ascii="仿宋_GB2312"/>
                <w:b w:val="0"/>
                <w:bCs w:val="0"/>
                <w:sz w:val="28"/>
                <w:szCs w:val="28"/>
              </w:rPr>
              <w:t>252.83万猪当量，“十五五”规划养殖总量45.85</w:t>
            </w:r>
            <w:r>
              <w:rPr>
                <w:rFonts w:hint="eastAsia" w:ascii="仿宋_GB2312"/>
                <w:b w:val="0"/>
                <w:bCs w:val="0"/>
                <w:sz w:val="28"/>
                <w:szCs w:val="28"/>
              </w:rPr>
              <w:noBreakHyphen/>
            </w:r>
            <w:r>
              <w:rPr>
                <w:rFonts w:hint="eastAsia" w:ascii="仿宋_GB2312"/>
                <w:b w:val="0"/>
                <w:bCs w:val="0"/>
                <w:sz w:val="28"/>
                <w:szCs w:val="28"/>
              </w:rPr>
              <w:t>80.85万猪当量，处于安全阈值区间。</w:t>
            </w:r>
          </w:p>
          <w:p>
            <w:pPr>
              <w:topLinePunct/>
              <w:adjustRightInd w:val="0"/>
              <w:snapToGrid w:val="0"/>
              <w:spacing w:line="240" w:lineRule="auto"/>
              <w:ind w:firstLine="560"/>
              <w:rPr>
                <w:rFonts w:ascii="仿宋_GB2312"/>
                <w:b/>
                <w:bCs/>
                <w:sz w:val="28"/>
                <w:szCs w:val="28"/>
              </w:rPr>
            </w:pPr>
            <w:r>
              <w:rPr>
                <w:rFonts w:hint="eastAsia" w:ascii="仿宋_GB2312"/>
                <w:b w:val="0"/>
                <w:bCs w:val="0"/>
                <w:sz w:val="28"/>
                <w:szCs w:val="28"/>
              </w:rPr>
              <w:t>3.政策技术保障到位，严格执行粪污承载力系列地方标准，推广低蛋白日粮等低碳养殖技术。</w:t>
            </w:r>
          </w:p>
          <w:p>
            <w:pPr>
              <w:topLinePunct/>
              <w:adjustRightInd w:val="0"/>
              <w:snapToGrid w:val="0"/>
              <w:spacing w:line="240" w:lineRule="auto"/>
              <w:ind w:firstLine="560"/>
              <w:rPr>
                <w:rFonts w:ascii="仿宋_GB2312"/>
                <w:b w:val="0"/>
                <w:bCs w:val="0"/>
                <w:sz w:val="28"/>
                <w:szCs w:val="28"/>
              </w:rPr>
            </w:pPr>
            <w:r>
              <w:rPr>
                <w:rFonts w:hint="eastAsia" w:ascii="仿宋_GB2312"/>
                <w:b w:val="0"/>
                <w:bCs w:val="0"/>
                <w:sz w:val="28"/>
                <w:szCs w:val="28"/>
              </w:rPr>
              <w:t>4.资源条件适配，丰富的山地林地适宜发展“林</w:t>
            </w:r>
            <w:r>
              <w:rPr>
                <w:rFonts w:hint="eastAsia" w:ascii="仿宋_GB2312"/>
                <w:b w:val="0"/>
                <w:bCs w:val="0"/>
                <w:sz w:val="28"/>
                <w:szCs w:val="28"/>
              </w:rPr>
              <w:noBreakHyphen/>
            </w:r>
            <w:r>
              <w:rPr>
                <w:rFonts w:hint="eastAsia" w:ascii="仿宋_GB2312"/>
                <w:b w:val="0"/>
                <w:bCs w:val="0"/>
                <w:sz w:val="28"/>
                <w:szCs w:val="28"/>
              </w:rPr>
              <w:t>禽”“林</w:t>
            </w:r>
            <w:r>
              <w:rPr>
                <w:rFonts w:hint="eastAsia" w:ascii="仿宋_GB2312"/>
                <w:b w:val="0"/>
                <w:bCs w:val="0"/>
                <w:sz w:val="28"/>
                <w:szCs w:val="28"/>
              </w:rPr>
              <w:noBreakHyphen/>
            </w:r>
            <w:r>
              <w:rPr>
                <w:rFonts w:hint="eastAsia" w:ascii="仿宋_GB2312"/>
                <w:b w:val="0"/>
                <w:bCs w:val="0"/>
                <w:sz w:val="28"/>
                <w:szCs w:val="28"/>
              </w:rPr>
              <w:t>蜂”立体种养，平原耕地便于粪肥还田，有利于分散防控集中污染风险。</w:t>
            </w:r>
          </w:p>
        </w:tc>
        <w:tc>
          <w:tcPr>
            <w:tcW w:w="2693" w:type="dxa"/>
          </w:tcPr>
          <w:p>
            <w:pPr>
              <w:topLinePunct/>
              <w:adjustRightInd w:val="0"/>
              <w:snapToGrid w:val="0"/>
              <w:spacing w:line="240" w:lineRule="auto"/>
              <w:ind w:firstLine="560"/>
              <w:rPr>
                <w:rFonts w:ascii="仿宋_GB2312"/>
                <w:sz w:val="28"/>
                <w:szCs w:val="28"/>
              </w:rPr>
            </w:pPr>
            <w:r>
              <w:rPr>
                <w:rFonts w:hint="eastAsia" w:ascii="仿宋_GB2312"/>
                <w:sz w:val="28"/>
                <w:szCs w:val="28"/>
              </w:rPr>
              <w:t>1.全县2025年畜禽年粪污产生量约41万吨，处理压力较大；至2030年新增家禽存栏的鸡粪产出。受季节影响，雨季、冬季粪污还田利用受限，贮存环节存在溢流隐患。</w:t>
            </w:r>
          </w:p>
          <w:p>
            <w:pPr>
              <w:topLinePunct/>
              <w:adjustRightInd w:val="0"/>
              <w:snapToGrid w:val="0"/>
              <w:spacing w:line="240" w:lineRule="auto"/>
              <w:ind w:firstLine="560"/>
              <w:rPr>
                <w:rFonts w:ascii="仿宋_GB2312"/>
                <w:sz w:val="28"/>
                <w:szCs w:val="28"/>
              </w:rPr>
            </w:pPr>
            <w:r>
              <w:rPr>
                <w:rFonts w:hint="eastAsia" w:ascii="仿宋_GB2312"/>
                <w:sz w:val="28"/>
                <w:szCs w:val="28"/>
              </w:rPr>
              <w:t>2.局部区域、小型养殖场设施简陋，易产生甲烷、氨气等污染物。生猪养殖会消耗一定水资源，干旱期存在用水压力；部分区域种养配套管网不完善，粪污还田闭环未能完全打通。</w:t>
            </w:r>
          </w:p>
          <w:p>
            <w:pPr>
              <w:topLinePunct/>
              <w:adjustRightInd w:val="0"/>
              <w:snapToGrid w:val="0"/>
              <w:spacing w:line="240" w:lineRule="auto"/>
              <w:ind w:firstLine="560"/>
              <w:rPr>
                <w:rFonts w:ascii="仿宋_GB2312"/>
                <w:sz w:val="28"/>
                <w:szCs w:val="28"/>
              </w:rPr>
            </w:pPr>
            <w:r>
              <w:rPr>
                <w:rFonts w:hint="eastAsia" w:ascii="仿宋_GB2312"/>
                <w:sz w:val="28"/>
                <w:szCs w:val="28"/>
              </w:rPr>
              <w:t>3.全县整体粪污消纳容量充足，蛋鸡粪可加工有机肥供本地或外县利用，同时粪污资源化可减少化肥施用，具备良好生态效益。</w:t>
            </w:r>
          </w:p>
        </w:tc>
        <w:tc>
          <w:tcPr>
            <w:tcW w:w="2631" w:type="dxa"/>
          </w:tcPr>
          <w:p>
            <w:pPr>
              <w:topLinePunct/>
              <w:adjustRightInd w:val="0"/>
              <w:snapToGrid w:val="0"/>
              <w:spacing w:line="240" w:lineRule="auto"/>
              <w:ind w:firstLine="560"/>
              <w:rPr>
                <w:rFonts w:ascii="仿宋_GB2312"/>
                <w:sz w:val="28"/>
                <w:szCs w:val="28"/>
              </w:rPr>
            </w:pPr>
            <w:r>
              <w:rPr>
                <w:rFonts w:hint="eastAsia" w:ascii="仿宋_GB2312"/>
                <w:sz w:val="28"/>
                <w:szCs w:val="28"/>
              </w:rPr>
              <w:t>1.严守养殖总量安全阈值，实施分区布局，生猪向消纳条件好的乡镇集聚；蛋鸡布局及新增肉鸡项目必须配套粪污处理加工设施。</w:t>
            </w:r>
          </w:p>
          <w:p>
            <w:pPr>
              <w:topLinePunct/>
              <w:adjustRightInd w:val="0"/>
              <w:snapToGrid w:val="0"/>
              <w:spacing w:line="240" w:lineRule="auto"/>
              <w:ind w:firstLine="560"/>
              <w:rPr>
                <w:rFonts w:ascii="仿宋_GB2312"/>
                <w:sz w:val="28"/>
                <w:szCs w:val="28"/>
              </w:rPr>
            </w:pPr>
            <w:r>
              <w:rPr>
                <w:rFonts w:hint="eastAsia" w:ascii="仿宋_GB2312"/>
                <w:sz w:val="28"/>
                <w:szCs w:val="28"/>
              </w:rPr>
              <w:t>2.建立养殖布局数字化地图，依据环境监测动态调控项目审批。推进粪污集中处理中心、田间储液及管网建设，推广“三减三增”源头减量技术；培育有机肥市场，鼓励规模场配套沼气工程。</w:t>
            </w:r>
          </w:p>
          <w:p>
            <w:pPr>
              <w:topLinePunct/>
              <w:adjustRightInd w:val="0"/>
              <w:snapToGrid w:val="0"/>
              <w:spacing w:line="240" w:lineRule="auto"/>
              <w:ind w:firstLine="560"/>
              <w:rPr>
                <w:rFonts w:ascii="仿宋_GB2312"/>
                <w:sz w:val="28"/>
                <w:szCs w:val="28"/>
              </w:rPr>
            </w:pPr>
            <w:r>
              <w:rPr>
                <w:rFonts w:hint="eastAsia" w:ascii="仿宋_GB2312"/>
                <w:sz w:val="28"/>
                <w:szCs w:val="28"/>
              </w:rPr>
              <w:t>3.搭建粪污监测网络，对COD、氨氮开展常态化监测，设置污染预警；将粪污处置情况纳入养殖场信用评价，落实环境信用黑名单制度，压实养殖主体环保责任。</w:t>
            </w:r>
          </w:p>
        </w:tc>
      </w:tr>
    </w:tbl>
    <w:p>
      <w:pPr>
        <w:pStyle w:val="2"/>
        <w:ind w:firstLine="643"/>
      </w:pPr>
      <w:bookmarkStart w:id="66" w:name="_Toc240753884"/>
      <w:bookmarkStart w:id="67" w:name="OLE_LINK78"/>
      <w:r>
        <w:rPr>
          <w:rFonts w:hint="eastAsia"/>
        </w:rPr>
        <w:t>八</w:t>
      </w:r>
      <w:r>
        <w:t>、保障措施</w:t>
      </w:r>
      <w:bookmarkEnd w:id="66"/>
    </w:p>
    <w:p>
      <w:pPr>
        <w:pStyle w:val="3"/>
        <w:ind w:firstLine="643"/>
      </w:pPr>
      <w:bookmarkStart w:id="68" w:name="_Toc240753885"/>
      <w:r>
        <w:rPr>
          <w:rFonts w:hint="eastAsia"/>
        </w:rPr>
        <w:t>（一）组织与政策保障</w:t>
      </w:r>
      <w:bookmarkEnd w:id="68"/>
    </w:p>
    <w:p>
      <w:pPr>
        <w:ind w:firstLine="600"/>
      </w:pPr>
      <w:r>
        <w:rPr>
          <w:rFonts w:hint="eastAsia"/>
        </w:rPr>
        <w:t>成立由县政府分管领导牵头的畜牧产业发展专班，农业农村、发改、生态环境、林业、水利、自然资源、财政、金融等部门为成员，统筹推进全县畜牧业发展，协调解决产业重大问题，厘清部门职责，强化跨部门协同联动，凝聚工作合力。</w:t>
      </w:r>
    </w:p>
    <w:p>
      <w:pPr>
        <w:pStyle w:val="3"/>
        <w:ind w:firstLine="643"/>
      </w:pPr>
      <w:bookmarkStart w:id="69" w:name="_Toc240753886"/>
      <w:r>
        <w:rPr>
          <w:rFonts w:hint="eastAsia"/>
        </w:rPr>
        <w:t>（二）资金与金融保障</w:t>
      </w:r>
      <w:bookmarkEnd w:id="69"/>
    </w:p>
    <w:p>
      <w:pPr>
        <w:ind w:firstLine="600"/>
      </w:pPr>
      <w:r>
        <w:rPr>
          <w:rFonts w:hint="eastAsia"/>
        </w:rPr>
        <w:t>积极争取国家</w:t>
      </w:r>
      <w:r>
        <w:t>和</w:t>
      </w:r>
      <w:r>
        <w:rPr>
          <w:rFonts w:hint="eastAsia"/>
        </w:rPr>
        <w:t>省级财政项目资金，重点投向基础设施建设、疫病防控、粪污资源化利用、科技创新等领域。统筹用好县级现代农业发展专项资金，聚焦种业创新、粪污治理、数字化改造、品牌建设等方向，强化专款专用和资金监管。持续优化营商环境，引导社会资本投向冷链物流、休闲牧业等领域，推动产业融合发展。</w:t>
      </w:r>
    </w:p>
    <w:p>
      <w:pPr>
        <w:pStyle w:val="3"/>
        <w:ind w:firstLine="643"/>
      </w:pPr>
      <w:bookmarkStart w:id="70" w:name="_Toc240753887"/>
      <w:r>
        <w:rPr>
          <w:rFonts w:hint="eastAsia"/>
        </w:rPr>
        <w:t>（三）用地保障与政策支持</w:t>
      </w:r>
      <w:bookmarkEnd w:id="70"/>
    </w:p>
    <w:p>
      <w:pPr>
        <w:ind w:firstLine="600"/>
      </w:pPr>
      <w:r>
        <w:rPr>
          <w:rFonts w:hint="eastAsia"/>
        </w:rPr>
        <w:t>对符合规划的养殖项目，在用地审批、土地流转等方面予以优先支持，提高土地利用效率。优化补贴机制，对购置先进养殖机械、实施绿色养殖、建设粪污处理设施、参与质量追溯和品牌创建的经营主体给予补贴。落实税收优惠，依规减免相关税费，沼气能源和合规有机肥产品按政策享受增值税减免。</w:t>
      </w:r>
    </w:p>
    <w:p>
      <w:pPr>
        <w:pStyle w:val="3"/>
        <w:ind w:firstLine="643"/>
      </w:pPr>
      <w:bookmarkStart w:id="71" w:name="_Toc240753888"/>
      <w:r>
        <w:rPr>
          <w:rFonts w:hint="eastAsia"/>
        </w:rPr>
        <w:t>（四）科技与人才保障</w:t>
      </w:r>
      <w:bookmarkEnd w:id="71"/>
    </w:p>
    <w:p>
      <w:pPr>
        <w:ind w:firstLine="600"/>
      </w:pPr>
      <w:r>
        <w:rPr>
          <w:rFonts w:hint="eastAsia"/>
        </w:rPr>
        <w:t>常态化开展技术培训和观摩交流，提升现有畜牧从业人员业务能力。支持龙头企业搭建研发平台、组建专家团队，开展技术自主创新。出台引才优惠政策，引进畜牧高层次专业人才，完善人才激励机制，对科技创新贡献突出人员给予奖励，激发创新活力。</w:t>
      </w:r>
    </w:p>
    <w:p>
      <w:pPr>
        <w:pStyle w:val="3"/>
        <w:ind w:firstLine="643"/>
        <w:rPr>
          <w:rFonts w:ascii="仿宋_GB2312" w:eastAsia="仿宋_GB2312"/>
          <w:b w:val="0"/>
        </w:rPr>
      </w:pPr>
      <w:bookmarkStart w:id="72" w:name="_Toc240753889"/>
      <w:r>
        <w:rPr>
          <w:rFonts w:hint="eastAsia"/>
        </w:rPr>
        <w:t>（五）监管与服务保障</w:t>
      </w:r>
      <w:bookmarkEnd w:id="72"/>
    </w:p>
    <w:p>
      <w:pPr>
        <w:ind w:firstLine="600"/>
        <w:sectPr>
          <w:pgSz w:w="11906" w:h="16838"/>
          <w:pgMar w:top="1440" w:right="1800" w:bottom="1440" w:left="1800" w:header="851" w:footer="992" w:gutter="0"/>
          <w:pgNumType w:start="1"/>
          <w:cols w:space="425" w:num="1"/>
          <w:docGrid w:type="lines" w:linePitch="312" w:charSpace="0"/>
        </w:sectPr>
      </w:pPr>
      <w:r>
        <w:rPr>
          <w:rFonts w:hint="eastAsia"/>
        </w:rPr>
        <w:t>建立生产、市场、疫病常态化监测预警机制，依托政务平台及时发布产业信息，引导养殖户科学组织生产。培育和规范畜牧社会化服务组织，健全服务质量评价奖惩机制。强化养殖、加工、流通全链条监管，严厉打击制售假冒伪劣饲料兽药行为，规范养殖生产行为。加大养殖污染执法检查力度，落实养殖场环保信用评价制度，实施分类奖惩，压实养殖场环保主体责任。</w:t>
      </w:r>
    </w:p>
    <w:bookmarkEnd w:id="67"/>
    <w:p>
      <w:pPr>
        <w:pStyle w:val="2"/>
        <w:ind w:firstLine="643"/>
      </w:pPr>
      <w:bookmarkStart w:id="73" w:name="_Toc240753890"/>
      <w:r>
        <w:t>附件</w:t>
      </w:r>
      <w:r>
        <w:rPr>
          <w:rFonts w:hint="eastAsia"/>
        </w:rPr>
        <w:t>一：</w:t>
      </w:r>
      <w:r>
        <w:t>重点项目清单</w:t>
      </w:r>
      <w:bookmarkEnd w:id="73"/>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6"/>
        <w:gridCol w:w="1331"/>
        <w:gridCol w:w="918"/>
        <w:gridCol w:w="6751"/>
        <w:gridCol w:w="1333"/>
        <w:gridCol w:w="1242"/>
        <w:gridCol w:w="815"/>
        <w:gridCol w:w="12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0" w:type="auto"/>
            <w:gridSpan w:val="8"/>
            <w:noWrap/>
          </w:tcPr>
          <w:p>
            <w:pPr>
              <w:widowControl/>
              <w:spacing w:line="240" w:lineRule="auto"/>
              <w:ind w:firstLine="0" w:firstLineChars="0"/>
              <w:jc w:val="center"/>
              <w:rPr>
                <w:rFonts w:hint="eastAsia" w:ascii="仿宋_GB2312" w:hAnsi="宋体" w:cs="宋体"/>
                <w:kern w:val="0"/>
                <w:sz w:val="32"/>
                <w:szCs w:val="32"/>
              </w:rPr>
            </w:pPr>
            <w:r>
              <w:rPr>
                <w:rFonts w:hint="eastAsia" w:ascii="仿宋_GB2312" w:hAnsi="宋体" w:cs="宋体"/>
                <w:kern w:val="0"/>
                <w:sz w:val="32"/>
                <w:szCs w:val="32"/>
              </w:rPr>
              <w:t>闽清县畜牧业“十五五”发展规划项目建设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0" w:type="auto"/>
          </w:tcPr>
          <w:p>
            <w:pPr>
              <w:widowControl/>
              <w:spacing w:line="240" w:lineRule="auto"/>
              <w:ind w:firstLine="0" w:firstLineChars="0"/>
              <w:jc w:val="center"/>
              <w:rPr>
                <w:rFonts w:hint="eastAsia" w:ascii="仿宋_GB2312" w:hAnsi="宋体" w:cs="宋体"/>
                <w:kern w:val="0"/>
                <w:sz w:val="28"/>
                <w:szCs w:val="28"/>
              </w:rPr>
            </w:pPr>
            <w:r>
              <w:rPr>
                <w:rFonts w:hint="eastAsia" w:ascii="仿宋_GB2312" w:hAnsi="宋体" w:cs="宋体"/>
                <w:kern w:val="0"/>
                <w:sz w:val="28"/>
                <w:szCs w:val="28"/>
              </w:rPr>
              <w:t>序号</w:t>
            </w:r>
          </w:p>
        </w:tc>
        <w:tc>
          <w:tcPr>
            <w:tcW w:w="0" w:type="auto"/>
          </w:tcPr>
          <w:p>
            <w:pPr>
              <w:widowControl/>
              <w:spacing w:line="240" w:lineRule="auto"/>
              <w:ind w:firstLine="0" w:firstLineChars="0"/>
              <w:jc w:val="center"/>
              <w:rPr>
                <w:rFonts w:hint="eastAsia" w:ascii="仿宋_GB2312" w:hAnsi="宋体" w:cs="宋体"/>
                <w:kern w:val="0"/>
                <w:sz w:val="28"/>
                <w:szCs w:val="28"/>
              </w:rPr>
            </w:pPr>
            <w:r>
              <w:rPr>
                <w:rFonts w:hint="eastAsia" w:ascii="仿宋_GB2312" w:hAnsi="宋体" w:cs="宋体"/>
                <w:kern w:val="0"/>
                <w:sz w:val="28"/>
                <w:szCs w:val="28"/>
              </w:rPr>
              <w:t>项目名称</w:t>
            </w:r>
          </w:p>
        </w:tc>
        <w:tc>
          <w:tcPr>
            <w:tcW w:w="0" w:type="auto"/>
          </w:tcPr>
          <w:p>
            <w:pPr>
              <w:widowControl/>
              <w:spacing w:line="240" w:lineRule="auto"/>
              <w:ind w:firstLine="0" w:firstLineChars="0"/>
              <w:jc w:val="center"/>
              <w:rPr>
                <w:rFonts w:hint="eastAsia" w:ascii="仿宋_GB2312" w:hAnsi="宋体" w:cs="宋体"/>
                <w:kern w:val="0"/>
                <w:sz w:val="28"/>
                <w:szCs w:val="28"/>
              </w:rPr>
            </w:pPr>
            <w:r>
              <w:rPr>
                <w:rFonts w:hint="eastAsia" w:ascii="仿宋_GB2312" w:hAnsi="宋体" w:cs="宋体"/>
                <w:kern w:val="0"/>
                <w:sz w:val="28"/>
                <w:szCs w:val="28"/>
              </w:rPr>
              <w:t>建设地点</w:t>
            </w:r>
          </w:p>
        </w:tc>
        <w:tc>
          <w:tcPr>
            <w:tcW w:w="0" w:type="auto"/>
          </w:tcPr>
          <w:p>
            <w:pPr>
              <w:widowControl/>
              <w:spacing w:line="240" w:lineRule="auto"/>
              <w:ind w:firstLine="0" w:firstLineChars="0"/>
              <w:jc w:val="center"/>
              <w:rPr>
                <w:rFonts w:hint="eastAsia" w:ascii="仿宋_GB2312" w:hAnsi="宋体" w:cs="宋体"/>
                <w:kern w:val="0"/>
                <w:sz w:val="28"/>
                <w:szCs w:val="28"/>
              </w:rPr>
            </w:pPr>
            <w:r>
              <w:rPr>
                <w:rFonts w:hint="eastAsia" w:ascii="仿宋_GB2312" w:hAnsi="宋体" w:cs="宋体"/>
                <w:kern w:val="0"/>
                <w:sz w:val="28"/>
                <w:szCs w:val="28"/>
              </w:rPr>
              <w:t>主要建设内容及规模</w:t>
            </w:r>
          </w:p>
        </w:tc>
        <w:tc>
          <w:tcPr>
            <w:tcW w:w="0" w:type="auto"/>
          </w:tcPr>
          <w:p>
            <w:pPr>
              <w:widowControl/>
              <w:spacing w:line="240" w:lineRule="auto"/>
              <w:ind w:firstLine="0" w:firstLineChars="0"/>
              <w:jc w:val="center"/>
              <w:rPr>
                <w:rFonts w:hint="eastAsia" w:ascii="仿宋_GB2312" w:hAnsi="宋体" w:cs="宋体"/>
                <w:kern w:val="0"/>
                <w:sz w:val="28"/>
                <w:szCs w:val="28"/>
              </w:rPr>
            </w:pPr>
            <w:r>
              <w:rPr>
                <w:rFonts w:hint="eastAsia" w:ascii="仿宋_GB2312" w:hAnsi="宋体" w:cs="宋体"/>
                <w:kern w:val="0"/>
                <w:sz w:val="28"/>
                <w:szCs w:val="28"/>
              </w:rPr>
              <w:t>预计投资（万元）</w:t>
            </w:r>
          </w:p>
        </w:tc>
        <w:tc>
          <w:tcPr>
            <w:tcW w:w="0" w:type="auto"/>
          </w:tcPr>
          <w:p>
            <w:pPr>
              <w:widowControl/>
              <w:spacing w:line="240" w:lineRule="auto"/>
              <w:ind w:firstLine="0" w:firstLineChars="0"/>
              <w:jc w:val="center"/>
              <w:rPr>
                <w:rFonts w:hint="eastAsia" w:ascii="仿宋_GB2312" w:hAnsi="宋体" w:cs="宋体"/>
                <w:kern w:val="0"/>
                <w:sz w:val="28"/>
                <w:szCs w:val="28"/>
              </w:rPr>
            </w:pPr>
            <w:r>
              <w:rPr>
                <w:rFonts w:hint="eastAsia" w:ascii="仿宋_GB2312" w:hAnsi="宋体" w:cs="宋体"/>
                <w:kern w:val="0"/>
                <w:sz w:val="28"/>
                <w:szCs w:val="28"/>
              </w:rPr>
              <w:t xml:space="preserve">建设 </w:t>
            </w:r>
            <w:r>
              <w:rPr>
                <w:rFonts w:ascii="仿宋_GB2312" w:hAnsi="宋体" w:cs="宋体"/>
                <w:kern w:val="0"/>
                <w:sz w:val="28"/>
                <w:szCs w:val="28"/>
              </w:rPr>
              <w:t xml:space="preserve"> </w:t>
            </w:r>
            <w:r>
              <w:rPr>
                <w:rFonts w:hint="eastAsia" w:ascii="仿宋_GB2312" w:hAnsi="宋体" w:cs="宋体"/>
                <w:kern w:val="0"/>
                <w:sz w:val="28"/>
                <w:szCs w:val="28"/>
              </w:rPr>
              <w:t>期限</w:t>
            </w:r>
          </w:p>
        </w:tc>
        <w:tc>
          <w:tcPr>
            <w:tcW w:w="0" w:type="auto"/>
          </w:tcPr>
          <w:p>
            <w:pPr>
              <w:widowControl/>
              <w:spacing w:line="240" w:lineRule="auto"/>
              <w:ind w:firstLine="0" w:firstLineChars="0"/>
              <w:jc w:val="center"/>
              <w:rPr>
                <w:rFonts w:hint="eastAsia" w:ascii="仿宋_GB2312" w:hAnsi="宋体" w:cs="宋体"/>
                <w:kern w:val="0"/>
                <w:sz w:val="28"/>
                <w:szCs w:val="28"/>
              </w:rPr>
            </w:pPr>
            <w:r>
              <w:rPr>
                <w:rFonts w:hint="eastAsia" w:ascii="仿宋_GB2312" w:hAnsi="宋体" w:cs="宋体"/>
                <w:kern w:val="0"/>
                <w:sz w:val="28"/>
                <w:szCs w:val="28"/>
              </w:rPr>
              <w:t>进度目标</w:t>
            </w:r>
          </w:p>
        </w:tc>
        <w:tc>
          <w:tcPr>
            <w:tcW w:w="0" w:type="auto"/>
          </w:tcPr>
          <w:p>
            <w:pPr>
              <w:widowControl/>
              <w:spacing w:line="240" w:lineRule="auto"/>
              <w:ind w:firstLine="0" w:firstLineChars="0"/>
              <w:jc w:val="center"/>
              <w:rPr>
                <w:rFonts w:hint="eastAsia" w:ascii="仿宋_GB2312" w:hAnsi="宋体" w:cs="宋体"/>
                <w:kern w:val="0"/>
                <w:sz w:val="28"/>
                <w:szCs w:val="28"/>
              </w:rPr>
            </w:pPr>
            <w:r>
              <w:rPr>
                <w:rFonts w:hint="eastAsia" w:ascii="仿宋_GB2312" w:hAnsi="宋体" w:cs="宋体"/>
                <w:kern w:val="0"/>
                <w:sz w:val="28"/>
                <w:szCs w:val="28"/>
              </w:rPr>
              <w:t xml:space="preserve">建设 </w:t>
            </w:r>
            <w:r>
              <w:rPr>
                <w:rFonts w:ascii="仿宋_GB2312" w:hAnsi="宋体" w:cs="宋体"/>
                <w:kern w:val="0"/>
                <w:sz w:val="28"/>
                <w:szCs w:val="28"/>
              </w:rPr>
              <w:t xml:space="preserve"> </w:t>
            </w:r>
            <w:r>
              <w:rPr>
                <w:rFonts w:hint="eastAsia" w:ascii="仿宋_GB2312" w:hAnsi="宋体" w:cs="宋体"/>
                <w:kern w:val="0"/>
                <w:sz w:val="28"/>
                <w:szCs w:val="28"/>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4" w:hRule="atLeast"/>
        </w:trPr>
        <w:tc>
          <w:tcPr>
            <w:tcW w:w="0" w:type="auto"/>
          </w:tcPr>
          <w:p>
            <w:pPr>
              <w:widowControl/>
              <w:spacing w:line="240" w:lineRule="auto"/>
              <w:ind w:firstLine="0" w:firstLineChars="0"/>
              <w:rPr>
                <w:rFonts w:hint="eastAsia" w:ascii="仿宋_GB2312" w:hAnsi="宋体" w:cs="宋体"/>
                <w:kern w:val="0"/>
                <w:sz w:val="28"/>
                <w:szCs w:val="28"/>
              </w:rPr>
            </w:pPr>
            <w:r>
              <w:rPr>
                <w:rFonts w:hint="eastAsia" w:ascii="仿宋_GB2312" w:hAnsi="宋体" w:cs="宋体"/>
                <w:kern w:val="0"/>
                <w:sz w:val="28"/>
                <w:szCs w:val="28"/>
              </w:rPr>
              <w:t>1</w:t>
            </w:r>
          </w:p>
        </w:tc>
        <w:tc>
          <w:tcPr>
            <w:tcW w:w="0" w:type="auto"/>
          </w:tcPr>
          <w:p>
            <w:pPr>
              <w:widowControl/>
              <w:spacing w:line="240" w:lineRule="auto"/>
              <w:ind w:firstLine="0" w:firstLineChars="0"/>
              <w:rPr>
                <w:rFonts w:hint="eastAsia" w:ascii="仿宋_GB2312" w:hAnsi="宋体" w:cs="宋体"/>
                <w:kern w:val="0"/>
                <w:sz w:val="28"/>
                <w:szCs w:val="28"/>
              </w:rPr>
            </w:pPr>
            <w:r>
              <w:rPr>
                <w:rFonts w:hint="eastAsia" w:ascii="仿宋_GB2312" w:hAnsi="宋体" w:cs="宋体"/>
                <w:kern w:val="0"/>
                <w:sz w:val="28"/>
                <w:szCs w:val="28"/>
              </w:rPr>
              <w:t>闽清蛋鸡智能化绿色循环全产业链项目</w:t>
            </w:r>
          </w:p>
        </w:tc>
        <w:tc>
          <w:tcPr>
            <w:tcW w:w="0" w:type="auto"/>
          </w:tcPr>
          <w:p>
            <w:pPr>
              <w:widowControl/>
              <w:spacing w:line="240" w:lineRule="auto"/>
              <w:ind w:firstLine="0" w:firstLineChars="0"/>
              <w:jc w:val="center"/>
              <w:rPr>
                <w:rFonts w:hint="eastAsia" w:ascii="仿宋_GB2312" w:hAnsi="宋体" w:cs="宋体"/>
                <w:kern w:val="0"/>
                <w:sz w:val="28"/>
                <w:szCs w:val="28"/>
              </w:rPr>
            </w:pPr>
            <w:r>
              <w:rPr>
                <w:rFonts w:hint="eastAsia" w:ascii="仿宋_GB2312" w:hAnsi="宋体" w:cs="宋体"/>
                <w:kern w:val="0"/>
                <w:sz w:val="28"/>
                <w:szCs w:val="28"/>
              </w:rPr>
              <w:t>金沙镇城门村</w:t>
            </w:r>
          </w:p>
        </w:tc>
        <w:tc>
          <w:tcPr>
            <w:tcW w:w="0" w:type="auto"/>
          </w:tcPr>
          <w:p>
            <w:pPr>
              <w:widowControl/>
              <w:adjustRightInd w:val="0"/>
              <w:snapToGrid w:val="0"/>
              <w:spacing w:line="240" w:lineRule="auto"/>
              <w:ind w:firstLine="560"/>
              <w:rPr>
                <w:rFonts w:hint="eastAsia" w:ascii="仿宋_GB2312" w:hAnsi="宋体" w:cs="宋体"/>
                <w:kern w:val="0"/>
                <w:sz w:val="28"/>
                <w:szCs w:val="28"/>
              </w:rPr>
            </w:pPr>
            <w:bookmarkStart w:id="74" w:name="OLE_LINK21"/>
            <w:r>
              <w:rPr>
                <w:rFonts w:hint="eastAsia" w:ascii="仿宋_GB2312" w:hAnsi="宋体" w:cs="宋体"/>
                <w:kern w:val="0"/>
                <w:sz w:val="28"/>
                <w:szCs w:val="28"/>
              </w:rPr>
              <w:t>本项目用地面积约1629亩，其中总建筑面积约33.655万</w:t>
            </w:r>
            <w:r>
              <w:rPr>
                <w:rFonts w:hint="eastAsia" w:ascii="微软雅黑" w:hAnsi="微软雅黑" w:eastAsia="微软雅黑" w:cs="微软雅黑"/>
                <w:kern w:val="0"/>
                <w:sz w:val="28"/>
                <w:szCs w:val="28"/>
              </w:rPr>
              <w:t>㎡</w:t>
            </w:r>
            <w:r>
              <w:rPr>
                <w:rFonts w:hint="eastAsia" w:ascii="仿宋_GB2312" w:hAnsi="宋体" w:cs="宋体"/>
                <w:kern w:val="0"/>
                <w:sz w:val="28"/>
                <w:szCs w:val="28"/>
              </w:rPr>
              <w:t>，划分</w:t>
            </w:r>
            <w:r>
              <w:rPr>
                <w:rFonts w:ascii="仿宋_GB2312" w:hAnsi="宋体" w:cs="宋体"/>
                <w:kern w:val="0"/>
                <w:sz w:val="28"/>
                <w:szCs w:val="28"/>
              </w:rPr>
              <w:t>六大功能片区。项目配套智能环控、物联网数字管理平台、AI</w:t>
            </w:r>
            <w:r>
              <w:rPr>
                <w:rFonts w:hint="eastAsia" w:ascii="仿宋_GB2312" w:hAnsi="宋体" w:cs="宋体"/>
                <w:kern w:val="0"/>
                <w:sz w:val="28"/>
                <w:szCs w:val="28"/>
              </w:rPr>
              <w:t>智能</w:t>
            </w:r>
            <w:r>
              <w:rPr>
                <w:rFonts w:ascii="仿宋_GB2312" w:hAnsi="宋体" w:cs="宋体"/>
                <w:kern w:val="0"/>
                <w:sz w:val="28"/>
                <w:szCs w:val="28"/>
              </w:rPr>
              <w:t>养殖设备，同步完善供水、供电、供气、污水处置、道路通信及精深加工等全系列基础设施，</w:t>
            </w:r>
            <w:r>
              <w:rPr>
                <w:rFonts w:hint="eastAsia" w:ascii="仿宋_GB2312" w:hAnsi="宋体" w:cs="宋体"/>
                <w:kern w:val="0"/>
                <w:sz w:val="28"/>
                <w:szCs w:val="28"/>
              </w:rPr>
              <w:t>打造</w:t>
            </w:r>
            <w:r>
              <w:rPr>
                <w:rFonts w:ascii="仿宋_GB2312" w:hAnsi="宋体" w:cs="宋体"/>
                <w:kern w:val="0"/>
                <w:sz w:val="28"/>
                <w:szCs w:val="28"/>
              </w:rPr>
              <w:t>集良种繁育、饲料加工、标准化养殖、精深加工、冷链物流、智能装备研发应用于一体的蛋鸡绿色循环全产业链示范基地。</w:t>
            </w:r>
            <w:bookmarkEnd w:id="74"/>
          </w:p>
        </w:tc>
        <w:tc>
          <w:tcPr>
            <w:tcW w:w="0" w:type="auto"/>
          </w:tcPr>
          <w:p>
            <w:pPr>
              <w:widowControl/>
              <w:spacing w:line="240" w:lineRule="auto"/>
              <w:ind w:firstLine="0" w:firstLineChars="0"/>
              <w:rPr>
                <w:rFonts w:hint="eastAsia" w:ascii="仿宋_GB2312" w:hAnsi="宋体" w:cs="宋体"/>
                <w:kern w:val="0"/>
                <w:sz w:val="28"/>
                <w:szCs w:val="28"/>
              </w:rPr>
            </w:pPr>
            <w:r>
              <w:rPr>
                <w:rFonts w:hint="eastAsia" w:ascii="仿宋_GB2312" w:hAnsi="宋体" w:cs="宋体"/>
                <w:kern w:val="0"/>
                <w:sz w:val="28"/>
                <w:szCs w:val="28"/>
              </w:rPr>
              <w:t>365000</w:t>
            </w:r>
          </w:p>
        </w:tc>
        <w:tc>
          <w:tcPr>
            <w:tcW w:w="0" w:type="auto"/>
          </w:tcPr>
          <w:p>
            <w:pPr>
              <w:widowControl/>
              <w:spacing w:line="240" w:lineRule="auto"/>
              <w:ind w:firstLine="0" w:firstLineChars="0"/>
              <w:rPr>
                <w:rFonts w:hint="eastAsia" w:ascii="仿宋_GB2312" w:hAnsi="宋体" w:cs="宋体"/>
                <w:kern w:val="0"/>
                <w:sz w:val="28"/>
                <w:szCs w:val="28"/>
              </w:rPr>
            </w:pPr>
            <w:r>
              <w:rPr>
                <w:rFonts w:hint="eastAsia" w:ascii="仿宋_GB2312" w:hAnsi="宋体" w:cs="宋体"/>
                <w:kern w:val="0"/>
                <w:sz w:val="28"/>
                <w:szCs w:val="28"/>
              </w:rPr>
              <w:t>2026～2029年</w:t>
            </w:r>
          </w:p>
        </w:tc>
        <w:tc>
          <w:tcPr>
            <w:tcW w:w="0" w:type="auto"/>
          </w:tcPr>
          <w:p>
            <w:pPr>
              <w:widowControl/>
              <w:spacing w:line="240" w:lineRule="auto"/>
              <w:ind w:firstLine="0" w:firstLineChars="0"/>
              <w:rPr>
                <w:rFonts w:hint="eastAsia" w:ascii="仿宋_GB2312" w:hAnsi="等线" w:cs="宋体"/>
                <w:kern w:val="0"/>
                <w:sz w:val="28"/>
                <w:szCs w:val="28"/>
              </w:rPr>
            </w:pPr>
            <w:r>
              <w:rPr>
                <w:rFonts w:hint="eastAsia" w:ascii="仿宋_GB2312" w:hAnsi="等线" w:cs="宋体"/>
                <w:kern w:val="0"/>
                <w:sz w:val="28"/>
                <w:szCs w:val="28"/>
              </w:rPr>
              <w:t>期限内完成建设</w:t>
            </w:r>
          </w:p>
        </w:tc>
        <w:tc>
          <w:tcPr>
            <w:tcW w:w="0" w:type="auto"/>
          </w:tcPr>
          <w:p>
            <w:pPr>
              <w:widowControl/>
              <w:spacing w:line="240" w:lineRule="auto"/>
              <w:ind w:firstLine="0" w:firstLineChars="0"/>
              <w:rPr>
                <w:rFonts w:hint="eastAsia" w:ascii="仿宋_GB2312" w:hAnsi="宋体" w:cs="宋体"/>
                <w:kern w:val="0"/>
                <w:sz w:val="28"/>
                <w:szCs w:val="28"/>
              </w:rPr>
            </w:pPr>
            <w:r>
              <w:rPr>
                <w:rFonts w:hint="eastAsia" w:ascii="仿宋_GB2312" w:hAnsi="宋体" w:cs="宋体"/>
                <w:kern w:val="0"/>
                <w:sz w:val="28"/>
                <w:szCs w:val="28"/>
              </w:rPr>
              <w:t>闽清县金山林业投资发展有限公司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2" w:hRule="atLeast"/>
        </w:trPr>
        <w:tc>
          <w:tcPr>
            <w:tcW w:w="0" w:type="auto"/>
          </w:tcPr>
          <w:p>
            <w:pPr>
              <w:widowControl/>
              <w:spacing w:line="240" w:lineRule="auto"/>
              <w:ind w:firstLine="0" w:firstLineChars="0"/>
              <w:jc w:val="center"/>
              <w:rPr>
                <w:rFonts w:hint="eastAsia" w:ascii="仿宋_GB2312" w:hAnsi="宋体" w:cs="宋体"/>
                <w:kern w:val="0"/>
                <w:sz w:val="28"/>
                <w:szCs w:val="28"/>
              </w:rPr>
            </w:pPr>
            <w:r>
              <w:rPr>
                <w:rFonts w:hint="eastAsia" w:ascii="仿宋_GB2312" w:hAnsi="宋体" w:cs="宋体"/>
                <w:kern w:val="0"/>
                <w:sz w:val="28"/>
                <w:szCs w:val="28"/>
              </w:rPr>
              <w:t>2</w:t>
            </w:r>
          </w:p>
        </w:tc>
        <w:tc>
          <w:tcPr>
            <w:tcW w:w="0" w:type="auto"/>
          </w:tcPr>
          <w:p>
            <w:pPr>
              <w:widowControl/>
              <w:spacing w:line="240" w:lineRule="auto"/>
              <w:ind w:firstLine="0" w:firstLineChars="0"/>
              <w:jc w:val="left"/>
              <w:rPr>
                <w:rFonts w:hint="eastAsia" w:ascii="仿宋_GB2312" w:hAnsi="宋体" w:cs="宋体"/>
                <w:kern w:val="0"/>
                <w:sz w:val="28"/>
                <w:szCs w:val="28"/>
              </w:rPr>
            </w:pPr>
            <w:r>
              <w:rPr>
                <w:rFonts w:hint="eastAsia" w:ascii="仿宋_GB2312" w:hAnsi="宋体" w:cs="宋体"/>
                <w:kern w:val="0"/>
                <w:sz w:val="28"/>
                <w:szCs w:val="28"/>
              </w:rPr>
              <w:t>生猪标准化建设项目</w:t>
            </w:r>
          </w:p>
        </w:tc>
        <w:tc>
          <w:tcPr>
            <w:tcW w:w="0" w:type="auto"/>
          </w:tcPr>
          <w:p>
            <w:pPr>
              <w:widowControl/>
              <w:spacing w:line="240" w:lineRule="auto"/>
              <w:ind w:firstLine="0" w:firstLineChars="0"/>
              <w:jc w:val="center"/>
              <w:rPr>
                <w:rFonts w:hint="eastAsia" w:ascii="仿宋_GB2312" w:hAnsi="宋体" w:cs="宋体"/>
                <w:kern w:val="0"/>
                <w:sz w:val="28"/>
                <w:szCs w:val="28"/>
              </w:rPr>
            </w:pPr>
            <w:r>
              <w:rPr>
                <w:rFonts w:hint="eastAsia" w:ascii="仿宋_GB2312" w:hAnsi="宋体" w:cs="宋体"/>
                <w:kern w:val="0"/>
                <w:sz w:val="28"/>
                <w:szCs w:val="28"/>
              </w:rPr>
              <w:t>下祝乡池楼村罗山头</w:t>
            </w:r>
          </w:p>
        </w:tc>
        <w:tc>
          <w:tcPr>
            <w:tcW w:w="0" w:type="auto"/>
          </w:tcPr>
          <w:p>
            <w:pPr>
              <w:widowControl/>
              <w:adjustRightInd w:val="0"/>
              <w:snapToGrid w:val="0"/>
              <w:spacing w:line="240" w:lineRule="auto"/>
              <w:ind w:firstLine="560"/>
              <w:rPr>
                <w:rFonts w:hint="eastAsia" w:ascii="仿宋_GB2312" w:hAnsi="宋体" w:cs="宋体"/>
                <w:kern w:val="0"/>
                <w:sz w:val="28"/>
                <w:szCs w:val="28"/>
              </w:rPr>
            </w:pPr>
            <w:r>
              <w:rPr>
                <w:rFonts w:hint="eastAsia" w:ascii="仿宋_GB2312" w:hAnsi="宋体" w:cs="宋体"/>
                <w:kern w:val="0"/>
                <w:sz w:val="28"/>
                <w:szCs w:val="28"/>
              </w:rPr>
              <w:t>项目占地86816</w:t>
            </w:r>
            <w:r>
              <w:rPr>
                <w:rFonts w:hint="eastAsia" w:ascii="微软雅黑" w:hAnsi="微软雅黑" w:eastAsia="微软雅黑" w:cs="微软雅黑"/>
                <w:kern w:val="0"/>
                <w:sz w:val="28"/>
                <w:szCs w:val="28"/>
              </w:rPr>
              <w:t>㎡</w:t>
            </w:r>
            <w:r>
              <w:rPr>
                <w:rFonts w:hint="eastAsia" w:ascii="仿宋_GB2312" w:hAnsi="仿宋_GB2312" w:cs="仿宋_GB2312"/>
                <w:kern w:val="0"/>
                <w:sz w:val="28"/>
                <w:szCs w:val="28"/>
              </w:rPr>
              <w:t>，建设猪舍及附属设施建设面积约</w:t>
            </w:r>
            <w:r>
              <w:rPr>
                <w:rFonts w:hint="eastAsia" w:ascii="仿宋_GB2312" w:hAnsi="宋体" w:cs="宋体"/>
                <w:kern w:val="0"/>
                <w:sz w:val="28"/>
                <w:szCs w:val="28"/>
              </w:rPr>
              <w:t>3万</w:t>
            </w:r>
            <w:r>
              <w:rPr>
                <w:rFonts w:hint="eastAsia" w:ascii="微软雅黑" w:hAnsi="微软雅黑" w:eastAsia="微软雅黑" w:cs="微软雅黑"/>
                <w:kern w:val="0"/>
                <w:sz w:val="28"/>
                <w:szCs w:val="28"/>
              </w:rPr>
              <w:t>㎡</w:t>
            </w:r>
            <w:r>
              <w:rPr>
                <w:rFonts w:hint="eastAsia" w:ascii="仿宋_GB2312" w:hAnsi="仿宋_GB2312" w:cs="仿宋_GB2312"/>
                <w:kern w:val="0"/>
                <w:sz w:val="28"/>
                <w:szCs w:val="28"/>
              </w:rPr>
              <w:t>，设计存栏</w:t>
            </w:r>
            <w:r>
              <w:rPr>
                <w:rFonts w:hint="eastAsia" w:ascii="仿宋_GB2312" w:hAnsi="宋体" w:cs="宋体"/>
                <w:kern w:val="0"/>
                <w:sz w:val="28"/>
                <w:szCs w:val="28"/>
              </w:rPr>
              <w:t>1.2万头，年出栏生猪约2万头，主要建设标准化猪舍、附属设施、洗消烘干设施及办公区等，配套建设粪污处理设施（集污池、固液分离系统、沼气池、生化处理池、氧化塘、应急池、在线监控站房等）和无害化处理区、堆肥场、危废存储间等；配套粪肥输送管网，辐射周边1000余亩林地、农田等，实现二次消纳。</w:t>
            </w:r>
          </w:p>
        </w:tc>
        <w:tc>
          <w:tcPr>
            <w:tcW w:w="0" w:type="auto"/>
          </w:tcPr>
          <w:p>
            <w:pPr>
              <w:widowControl/>
              <w:spacing w:line="240" w:lineRule="auto"/>
              <w:ind w:firstLine="0" w:firstLineChars="0"/>
              <w:jc w:val="center"/>
              <w:rPr>
                <w:rFonts w:hint="eastAsia" w:ascii="仿宋_GB2312" w:hAnsi="宋体" w:cs="宋体"/>
                <w:kern w:val="0"/>
                <w:sz w:val="28"/>
                <w:szCs w:val="28"/>
              </w:rPr>
            </w:pPr>
            <w:r>
              <w:rPr>
                <w:rFonts w:hint="eastAsia" w:ascii="仿宋_GB2312" w:hAnsi="宋体" w:cs="宋体"/>
                <w:kern w:val="0"/>
                <w:sz w:val="28"/>
                <w:szCs w:val="28"/>
              </w:rPr>
              <w:t>6000</w:t>
            </w:r>
          </w:p>
        </w:tc>
        <w:tc>
          <w:tcPr>
            <w:tcW w:w="0" w:type="auto"/>
          </w:tcPr>
          <w:p>
            <w:pPr>
              <w:widowControl/>
              <w:spacing w:line="240" w:lineRule="auto"/>
              <w:ind w:firstLine="0" w:firstLineChars="0"/>
              <w:jc w:val="center"/>
              <w:rPr>
                <w:rFonts w:hint="eastAsia" w:ascii="仿宋_GB2312" w:hAnsi="宋体" w:cs="宋体"/>
                <w:kern w:val="0"/>
                <w:sz w:val="28"/>
                <w:szCs w:val="28"/>
              </w:rPr>
            </w:pPr>
            <w:r>
              <w:rPr>
                <w:rFonts w:hint="eastAsia" w:ascii="仿宋_GB2312" w:hAnsi="宋体" w:cs="宋体"/>
                <w:kern w:val="0"/>
                <w:sz w:val="28"/>
                <w:szCs w:val="28"/>
              </w:rPr>
              <w:t>2026～2028年</w:t>
            </w:r>
          </w:p>
        </w:tc>
        <w:tc>
          <w:tcPr>
            <w:tcW w:w="0" w:type="auto"/>
          </w:tcPr>
          <w:p>
            <w:pPr>
              <w:widowControl/>
              <w:spacing w:line="240" w:lineRule="auto"/>
              <w:ind w:firstLine="0" w:firstLineChars="0"/>
              <w:jc w:val="left"/>
              <w:rPr>
                <w:rFonts w:hint="eastAsia" w:ascii="仿宋_GB2312" w:hAnsi="宋体" w:cs="宋体"/>
                <w:kern w:val="0"/>
                <w:sz w:val="28"/>
                <w:szCs w:val="28"/>
              </w:rPr>
            </w:pPr>
            <w:r>
              <w:rPr>
                <w:rFonts w:hint="eastAsia" w:ascii="仿宋_GB2312" w:hAnsi="宋体" w:cs="宋体"/>
                <w:kern w:val="0"/>
                <w:sz w:val="28"/>
                <w:szCs w:val="28"/>
              </w:rPr>
              <w:t>期限内完成建设</w:t>
            </w:r>
          </w:p>
        </w:tc>
        <w:tc>
          <w:tcPr>
            <w:tcW w:w="0" w:type="auto"/>
          </w:tcPr>
          <w:p>
            <w:pPr>
              <w:widowControl/>
              <w:spacing w:line="240" w:lineRule="auto"/>
              <w:ind w:firstLine="0" w:firstLineChars="0"/>
              <w:jc w:val="center"/>
              <w:rPr>
                <w:rFonts w:hint="eastAsia" w:ascii="仿宋_GB2312" w:hAnsi="宋体" w:cs="宋体"/>
                <w:kern w:val="0"/>
                <w:sz w:val="28"/>
                <w:szCs w:val="28"/>
              </w:rPr>
            </w:pPr>
            <w:r>
              <w:rPr>
                <w:rFonts w:hint="eastAsia" w:ascii="仿宋_GB2312" w:hAnsi="宋体" w:cs="宋体"/>
                <w:kern w:val="0"/>
                <w:sz w:val="28"/>
                <w:szCs w:val="28"/>
              </w:rPr>
              <w:t>闽清县嘉洋农业发展有限公司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0" w:type="auto"/>
          </w:tcPr>
          <w:p>
            <w:pPr>
              <w:widowControl/>
              <w:spacing w:line="240" w:lineRule="auto"/>
              <w:ind w:firstLine="0" w:firstLineChars="0"/>
              <w:jc w:val="center"/>
              <w:rPr>
                <w:rFonts w:hint="eastAsia" w:ascii="仿宋_GB2312" w:hAnsi="宋体" w:cs="宋体"/>
                <w:kern w:val="0"/>
                <w:sz w:val="28"/>
                <w:szCs w:val="28"/>
              </w:rPr>
            </w:pPr>
            <w:r>
              <w:rPr>
                <w:rFonts w:hint="eastAsia" w:ascii="仿宋_GB2312" w:hAnsi="宋体" w:cs="宋体"/>
                <w:kern w:val="0"/>
                <w:sz w:val="28"/>
                <w:szCs w:val="28"/>
              </w:rPr>
              <w:t>3</w:t>
            </w:r>
          </w:p>
        </w:tc>
        <w:tc>
          <w:tcPr>
            <w:tcW w:w="0" w:type="auto"/>
          </w:tcPr>
          <w:p>
            <w:pPr>
              <w:widowControl/>
              <w:spacing w:line="240" w:lineRule="auto"/>
              <w:ind w:firstLine="0" w:firstLineChars="0"/>
              <w:jc w:val="left"/>
              <w:rPr>
                <w:rFonts w:hint="eastAsia" w:ascii="仿宋_GB2312" w:hAnsi="宋体" w:cs="宋体"/>
                <w:kern w:val="0"/>
                <w:sz w:val="28"/>
                <w:szCs w:val="28"/>
              </w:rPr>
            </w:pPr>
            <w:r>
              <w:rPr>
                <w:rFonts w:hint="eastAsia" w:ascii="仿宋_GB2312" w:hAnsi="宋体" w:cs="宋体"/>
                <w:kern w:val="0"/>
                <w:sz w:val="28"/>
                <w:szCs w:val="28"/>
              </w:rPr>
              <w:t>生猪规模化建设项目</w:t>
            </w:r>
          </w:p>
        </w:tc>
        <w:tc>
          <w:tcPr>
            <w:tcW w:w="0" w:type="auto"/>
          </w:tcPr>
          <w:p>
            <w:pPr>
              <w:widowControl/>
              <w:spacing w:line="240" w:lineRule="auto"/>
              <w:ind w:firstLine="0" w:firstLineChars="0"/>
              <w:jc w:val="center"/>
              <w:rPr>
                <w:rFonts w:hint="eastAsia" w:ascii="仿宋_GB2312" w:hAnsi="宋体" w:cs="宋体"/>
                <w:kern w:val="0"/>
                <w:sz w:val="28"/>
                <w:szCs w:val="28"/>
              </w:rPr>
            </w:pPr>
            <w:r>
              <w:rPr>
                <w:rFonts w:hint="eastAsia" w:ascii="仿宋_GB2312" w:hAnsi="宋体" w:cs="宋体"/>
                <w:kern w:val="0"/>
                <w:sz w:val="28"/>
                <w:szCs w:val="28"/>
              </w:rPr>
              <w:t>相关乡镇</w:t>
            </w:r>
          </w:p>
        </w:tc>
        <w:tc>
          <w:tcPr>
            <w:tcW w:w="0" w:type="auto"/>
          </w:tcPr>
          <w:p>
            <w:pPr>
              <w:widowControl/>
              <w:adjustRightInd w:val="0"/>
              <w:snapToGrid w:val="0"/>
              <w:spacing w:line="240" w:lineRule="auto"/>
              <w:ind w:firstLine="560"/>
              <w:rPr>
                <w:rFonts w:hint="eastAsia" w:ascii="仿宋_GB2312" w:hAnsi="宋体" w:cs="宋体"/>
                <w:kern w:val="0"/>
                <w:sz w:val="28"/>
                <w:szCs w:val="28"/>
              </w:rPr>
            </w:pPr>
            <w:bookmarkStart w:id="75" w:name="OLE_LINK9"/>
            <w:bookmarkStart w:id="76" w:name="OLE_LINK10"/>
            <w:r>
              <w:rPr>
                <w:rFonts w:hint="eastAsia" w:ascii="仿宋_GB2312" w:hAnsi="宋体" w:cs="宋体"/>
                <w:kern w:val="0"/>
                <w:sz w:val="28"/>
                <w:szCs w:val="28"/>
              </w:rPr>
              <w:t>整合培育2～5家年出栏1万头以上商品猪的规模化、标准化、现代化生态养殖基地，配套建设供暖、通风降温、监控管理等设施</w:t>
            </w:r>
            <w:bookmarkStart w:id="81" w:name="_GoBack"/>
            <w:bookmarkEnd w:id="81"/>
            <w:r>
              <w:rPr>
                <w:rFonts w:hint="eastAsia" w:ascii="仿宋_GB2312" w:hAnsi="宋体" w:cs="宋体"/>
                <w:kern w:val="0"/>
                <w:sz w:val="28"/>
                <w:szCs w:val="28"/>
              </w:rPr>
              <w:t>以及饲料加工区、料塔及自动料线输送系统、车辆洗消烘干中心、商品猪生物安全防控二级转运平台等设施设备；配套提升或建设集污池、固液分离系统、气浮机除渣降磷系统、叠螺机絮凝压泥系统、沼气池、生化处理系统、曝气处理池、氧化塘、储液池、堆肥车间、病死猪无害化处理设施、消纳地管网</w:t>
            </w:r>
            <w:r>
              <w:rPr>
                <w:rFonts w:ascii="仿宋_GB2312" w:hAnsi="宋体" w:cs="宋体"/>
                <w:kern w:val="0"/>
                <w:sz w:val="28"/>
                <w:szCs w:val="28"/>
              </w:rPr>
              <w:t>、消纳地尾水监控系统</w:t>
            </w:r>
            <w:r>
              <w:rPr>
                <w:rFonts w:hint="eastAsia" w:ascii="仿宋_GB2312" w:hAnsi="宋体" w:cs="宋体"/>
                <w:kern w:val="0"/>
                <w:sz w:val="28"/>
                <w:szCs w:val="28"/>
              </w:rPr>
              <w:t>等环保设施设备。</w:t>
            </w:r>
            <w:bookmarkEnd w:id="75"/>
            <w:bookmarkEnd w:id="76"/>
          </w:p>
        </w:tc>
        <w:tc>
          <w:tcPr>
            <w:tcW w:w="0" w:type="auto"/>
          </w:tcPr>
          <w:p>
            <w:pPr>
              <w:widowControl/>
              <w:spacing w:line="240" w:lineRule="auto"/>
              <w:ind w:firstLine="0" w:firstLineChars="0"/>
              <w:jc w:val="left"/>
              <w:rPr>
                <w:rFonts w:ascii="仿宋_GB2312"/>
                <w:sz w:val="28"/>
                <w:szCs w:val="28"/>
              </w:rPr>
            </w:pPr>
            <w:r>
              <w:rPr>
                <w:rFonts w:hint="eastAsia" w:ascii="仿宋_GB2312"/>
                <w:sz w:val="28"/>
                <w:szCs w:val="28"/>
              </w:rPr>
              <w:t>10000</w:t>
            </w:r>
          </w:p>
          <w:p>
            <w:pPr>
              <w:widowControl/>
              <w:spacing w:line="240" w:lineRule="auto"/>
              <w:ind w:firstLine="0" w:firstLineChars="0"/>
              <w:jc w:val="left"/>
              <w:rPr>
                <w:rFonts w:ascii="仿宋_GB2312"/>
                <w:sz w:val="28"/>
                <w:szCs w:val="28"/>
              </w:rPr>
            </w:pPr>
            <w:r>
              <w:rPr>
                <w:rFonts w:hint="eastAsia" w:ascii="仿宋_GB2312"/>
                <w:sz w:val="28"/>
                <w:szCs w:val="28"/>
              </w:rPr>
              <w:t>～25000</w:t>
            </w:r>
          </w:p>
        </w:tc>
        <w:tc>
          <w:tcPr>
            <w:tcW w:w="0" w:type="auto"/>
          </w:tcPr>
          <w:p>
            <w:pPr>
              <w:widowControl/>
              <w:spacing w:line="240" w:lineRule="auto"/>
              <w:ind w:firstLine="0" w:firstLineChars="0"/>
              <w:jc w:val="left"/>
              <w:rPr>
                <w:rFonts w:ascii="仿宋_GB2312"/>
                <w:sz w:val="28"/>
                <w:szCs w:val="28"/>
              </w:rPr>
            </w:pPr>
            <w:r>
              <w:rPr>
                <w:rFonts w:hint="eastAsia" w:ascii="仿宋_GB2312"/>
                <w:sz w:val="28"/>
                <w:szCs w:val="28"/>
              </w:rPr>
              <w:t>2026～2030年</w:t>
            </w:r>
          </w:p>
        </w:tc>
        <w:tc>
          <w:tcPr>
            <w:tcW w:w="0" w:type="auto"/>
          </w:tcPr>
          <w:p>
            <w:pPr>
              <w:widowControl/>
              <w:spacing w:line="240" w:lineRule="auto"/>
              <w:ind w:firstLine="0" w:firstLineChars="0"/>
              <w:jc w:val="left"/>
              <w:rPr>
                <w:rFonts w:ascii="仿宋_GB2312"/>
                <w:sz w:val="28"/>
                <w:szCs w:val="28"/>
              </w:rPr>
            </w:pPr>
            <w:r>
              <w:rPr>
                <w:rFonts w:hint="eastAsia" w:ascii="仿宋_GB2312"/>
                <w:sz w:val="28"/>
                <w:szCs w:val="28"/>
              </w:rPr>
              <w:t>期限内完成建设</w:t>
            </w:r>
          </w:p>
        </w:tc>
        <w:tc>
          <w:tcPr>
            <w:tcW w:w="0" w:type="auto"/>
          </w:tcPr>
          <w:p>
            <w:pPr>
              <w:widowControl/>
              <w:spacing w:line="240" w:lineRule="auto"/>
              <w:ind w:firstLine="0" w:firstLineChars="0"/>
              <w:jc w:val="left"/>
              <w:rPr>
                <w:rFonts w:ascii="仿宋_GB2312"/>
                <w:sz w:val="28"/>
                <w:szCs w:val="28"/>
              </w:rPr>
            </w:pPr>
            <w:r>
              <w:rPr>
                <w:rFonts w:hint="eastAsia" w:ascii="仿宋_GB2312"/>
                <w:sz w:val="28"/>
                <w:szCs w:val="28"/>
              </w:rPr>
              <w:t>相关养殖公司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6" w:hRule="atLeast"/>
        </w:trPr>
        <w:tc>
          <w:tcPr>
            <w:tcW w:w="0" w:type="auto"/>
          </w:tcPr>
          <w:p>
            <w:pPr>
              <w:widowControl/>
              <w:spacing w:line="240" w:lineRule="auto"/>
              <w:ind w:firstLine="0" w:firstLineChars="0"/>
              <w:jc w:val="center"/>
              <w:rPr>
                <w:rFonts w:hint="eastAsia" w:ascii="仿宋_GB2312" w:hAnsi="等线" w:cs="宋体"/>
                <w:kern w:val="0"/>
                <w:sz w:val="28"/>
                <w:szCs w:val="28"/>
              </w:rPr>
            </w:pPr>
            <w:r>
              <w:rPr>
                <w:rFonts w:hint="eastAsia" w:ascii="仿宋_GB2312" w:hAnsi="等线" w:cs="宋体"/>
                <w:kern w:val="0"/>
                <w:sz w:val="28"/>
                <w:szCs w:val="28"/>
              </w:rPr>
              <w:t>4</w:t>
            </w:r>
          </w:p>
        </w:tc>
        <w:tc>
          <w:tcPr>
            <w:tcW w:w="0" w:type="auto"/>
          </w:tcPr>
          <w:p>
            <w:pPr>
              <w:widowControl/>
              <w:spacing w:line="240" w:lineRule="auto"/>
              <w:ind w:firstLine="0" w:firstLineChars="0"/>
              <w:jc w:val="left"/>
              <w:rPr>
                <w:rFonts w:hint="eastAsia" w:ascii="仿宋_GB2312" w:hAnsi="等线" w:cs="宋体"/>
                <w:kern w:val="0"/>
                <w:sz w:val="28"/>
                <w:szCs w:val="28"/>
              </w:rPr>
            </w:pPr>
            <w:r>
              <w:rPr>
                <w:rFonts w:hint="eastAsia" w:ascii="仿宋_GB2312"/>
                <w:sz w:val="28"/>
                <w:szCs w:val="28"/>
              </w:rPr>
              <w:t>休闲牧业旅游项目建设项目</w:t>
            </w:r>
          </w:p>
        </w:tc>
        <w:tc>
          <w:tcPr>
            <w:tcW w:w="0" w:type="auto"/>
          </w:tcPr>
          <w:p>
            <w:pPr>
              <w:widowControl/>
              <w:spacing w:line="240" w:lineRule="auto"/>
              <w:ind w:firstLine="0" w:firstLineChars="0"/>
              <w:jc w:val="center"/>
              <w:rPr>
                <w:rFonts w:hint="eastAsia" w:ascii="仿宋_GB2312" w:hAnsi="等线" w:cs="宋体"/>
                <w:kern w:val="0"/>
                <w:sz w:val="28"/>
                <w:szCs w:val="28"/>
              </w:rPr>
            </w:pPr>
            <w:r>
              <w:rPr>
                <w:rFonts w:hint="eastAsia" w:ascii="仿宋_GB2312" w:hAnsi="宋体" w:cs="宋体"/>
                <w:kern w:val="0"/>
                <w:sz w:val="28"/>
                <w:szCs w:val="28"/>
              </w:rPr>
              <w:t>相关乡镇</w:t>
            </w:r>
          </w:p>
        </w:tc>
        <w:tc>
          <w:tcPr>
            <w:tcW w:w="0" w:type="auto"/>
          </w:tcPr>
          <w:p>
            <w:pPr>
              <w:widowControl/>
              <w:adjustRightInd w:val="0"/>
              <w:snapToGrid w:val="0"/>
              <w:spacing w:line="240" w:lineRule="auto"/>
              <w:ind w:firstLine="0" w:firstLineChars="0"/>
              <w:rPr>
                <w:rFonts w:hint="eastAsia" w:ascii="仿宋_GB2312" w:hAnsi="宋体" w:cs="宋体"/>
                <w:kern w:val="0"/>
                <w:sz w:val="28"/>
                <w:szCs w:val="28"/>
              </w:rPr>
            </w:pPr>
            <w:r>
              <w:rPr>
                <w:rFonts w:hint="eastAsia" w:ascii="仿宋_GB2312" w:hAnsi="宋体" w:cs="宋体"/>
                <w:kern w:val="0"/>
                <w:sz w:val="28"/>
                <w:szCs w:val="28"/>
              </w:rPr>
              <w:t>在特色发展区开发“牧场+旅游”线路，建设亲子体验基地、奶制品DIY工坊等项目，完善旅游配套设施，发展休闲牧业旅游产业。</w:t>
            </w:r>
          </w:p>
        </w:tc>
        <w:tc>
          <w:tcPr>
            <w:tcW w:w="0" w:type="auto"/>
          </w:tcPr>
          <w:p>
            <w:pPr>
              <w:widowControl/>
              <w:spacing w:line="240" w:lineRule="auto"/>
              <w:ind w:firstLine="0" w:firstLineChars="0"/>
              <w:jc w:val="center"/>
              <w:rPr>
                <w:rFonts w:hint="eastAsia" w:ascii="仿宋_GB2312" w:hAnsi="等线" w:cs="宋体"/>
                <w:kern w:val="0"/>
                <w:sz w:val="28"/>
                <w:szCs w:val="28"/>
              </w:rPr>
            </w:pPr>
            <w:r>
              <w:rPr>
                <w:rFonts w:hint="eastAsia" w:ascii="仿宋_GB2312"/>
                <w:sz w:val="28"/>
                <w:szCs w:val="28"/>
              </w:rPr>
              <w:t>4000</w:t>
            </w:r>
          </w:p>
        </w:tc>
        <w:tc>
          <w:tcPr>
            <w:tcW w:w="0" w:type="auto"/>
          </w:tcPr>
          <w:p>
            <w:pPr>
              <w:widowControl/>
              <w:spacing w:line="240" w:lineRule="auto"/>
              <w:ind w:firstLine="0" w:firstLineChars="0"/>
              <w:jc w:val="center"/>
              <w:rPr>
                <w:rFonts w:hint="eastAsia" w:ascii="仿宋_GB2312" w:hAnsi="等线" w:cs="宋体"/>
                <w:kern w:val="0"/>
                <w:sz w:val="28"/>
                <w:szCs w:val="28"/>
              </w:rPr>
            </w:pPr>
            <w:r>
              <w:rPr>
                <w:rFonts w:hint="eastAsia" w:ascii="仿宋_GB2312"/>
                <w:sz w:val="28"/>
                <w:szCs w:val="28"/>
              </w:rPr>
              <w:t>2029～2030年</w:t>
            </w:r>
          </w:p>
        </w:tc>
        <w:tc>
          <w:tcPr>
            <w:tcW w:w="0" w:type="auto"/>
          </w:tcPr>
          <w:p>
            <w:pPr>
              <w:widowControl/>
              <w:spacing w:line="240" w:lineRule="auto"/>
              <w:ind w:firstLine="0" w:firstLineChars="0"/>
              <w:jc w:val="center"/>
              <w:rPr>
                <w:rFonts w:hint="eastAsia" w:ascii="仿宋_GB2312" w:hAnsi="等线" w:cs="宋体"/>
                <w:kern w:val="0"/>
                <w:sz w:val="28"/>
                <w:szCs w:val="28"/>
              </w:rPr>
            </w:pPr>
            <w:r>
              <w:rPr>
                <w:rFonts w:hint="eastAsia" w:ascii="仿宋_GB2312"/>
                <w:sz w:val="28"/>
                <w:szCs w:val="28"/>
              </w:rPr>
              <w:t>期限内完成建设</w:t>
            </w:r>
          </w:p>
        </w:tc>
        <w:tc>
          <w:tcPr>
            <w:tcW w:w="0" w:type="auto"/>
          </w:tcPr>
          <w:p>
            <w:pPr>
              <w:widowControl/>
              <w:spacing w:line="240" w:lineRule="auto"/>
              <w:ind w:firstLine="0" w:firstLineChars="0"/>
              <w:jc w:val="left"/>
              <w:rPr>
                <w:rFonts w:hint="eastAsia" w:ascii="仿宋_GB2312" w:hAnsi="宋体" w:cs="宋体"/>
                <w:kern w:val="0"/>
                <w:sz w:val="28"/>
                <w:szCs w:val="28"/>
              </w:rPr>
            </w:pPr>
            <w:r>
              <w:rPr>
                <w:rFonts w:hint="eastAsia" w:ascii="仿宋_GB2312" w:hAnsi="宋体" w:cs="宋体"/>
                <w:kern w:val="0"/>
                <w:sz w:val="28"/>
                <w:szCs w:val="28"/>
              </w:rPr>
              <w:t>相关乡镇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6" w:hRule="atLeast"/>
        </w:trPr>
        <w:tc>
          <w:tcPr>
            <w:tcW w:w="0" w:type="auto"/>
          </w:tcPr>
          <w:p>
            <w:pPr>
              <w:widowControl/>
              <w:spacing w:line="240" w:lineRule="auto"/>
              <w:ind w:firstLine="0" w:firstLineChars="0"/>
              <w:jc w:val="center"/>
              <w:rPr>
                <w:rFonts w:hint="eastAsia" w:ascii="仿宋_GB2312" w:hAnsi="等线" w:cs="宋体"/>
                <w:kern w:val="0"/>
                <w:sz w:val="28"/>
                <w:szCs w:val="28"/>
              </w:rPr>
            </w:pPr>
            <w:r>
              <w:rPr>
                <w:rFonts w:hint="eastAsia" w:ascii="仿宋_GB2312" w:hAnsi="等线" w:cs="宋体"/>
                <w:kern w:val="0"/>
                <w:sz w:val="28"/>
                <w:szCs w:val="28"/>
              </w:rPr>
              <w:t>5</w:t>
            </w:r>
          </w:p>
        </w:tc>
        <w:tc>
          <w:tcPr>
            <w:tcW w:w="0" w:type="auto"/>
          </w:tcPr>
          <w:p>
            <w:pPr>
              <w:widowControl/>
              <w:spacing w:line="240" w:lineRule="auto"/>
              <w:ind w:firstLine="0" w:firstLineChars="0"/>
              <w:jc w:val="left"/>
              <w:rPr>
                <w:rFonts w:hint="eastAsia" w:ascii="仿宋_GB2312" w:hAnsi="等线" w:cs="宋体"/>
                <w:kern w:val="0"/>
                <w:sz w:val="28"/>
                <w:szCs w:val="28"/>
              </w:rPr>
            </w:pPr>
            <w:r>
              <w:rPr>
                <w:rFonts w:hint="eastAsia" w:ascii="仿宋_GB2312"/>
                <w:sz w:val="28"/>
                <w:szCs w:val="28"/>
              </w:rPr>
              <w:t>智能养殖示范场建设项目</w:t>
            </w:r>
          </w:p>
        </w:tc>
        <w:tc>
          <w:tcPr>
            <w:tcW w:w="0" w:type="auto"/>
          </w:tcPr>
          <w:p>
            <w:pPr>
              <w:widowControl/>
              <w:spacing w:line="240" w:lineRule="auto"/>
              <w:ind w:firstLine="0" w:firstLineChars="0"/>
              <w:jc w:val="center"/>
              <w:rPr>
                <w:rFonts w:hint="eastAsia" w:ascii="仿宋_GB2312" w:hAnsi="等线" w:cs="宋体"/>
                <w:kern w:val="0"/>
                <w:sz w:val="28"/>
                <w:szCs w:val="28"/>
              </w:rPr>
            </w:pPr>
            <w:r>
              <w:rPr>
                <w:rFonts w:hint="eastAsia" w:ascii="仿宋_GB2312" w:hAnsi="宋体" w:cs="宋体"/>
                <w:kern w:val="0"/>
                <w:sz w:val="28"/>
                <w:szCs w:val="28"/>
              </w:rPr>
              <w:t>相关乡镇</w:t>
            </w:r>
          </w:p>
        </w:tc>
        <w:tc>
          <w:tcPr>
            <w:tcW w:w="0" w:type="auto"/>
          </w:tcPr>
          <w:p>
            <w:pPr>
              <w:widowControl/>
              <w:adjustRightInd w:val="0"/>
              <w:snapToGrid w:val="0"/>
              <w:spacing w:line="240" w:lineRule="auto"/>
              <w:ind w:firstLine="0" w:firstLineChars="0"/>
              <w:rPr>
                <w:rFonts w:hint="eastAsia" w:ascii="仿宋_GB2312" w:hAnsi="宋体" w:cs="宋体"/>
                <w:kern w:val="0"/>
                <w:sz w:val="28"/>
                <w:szCs w:val="28"/>
              </w:rPr>
            </w:pPr>
            <w:r>
              <w:rPr>
                <w:rFonts w:hint="eastAsia" w:ascii="仿宋_GB2312" w:hAnsi="宋体" w:cs="宋体"/>
                <w:kern w:val="0"/>
                <w:sz w:val="28"/>
                <w:szCs w:val="28"/>
              </w:rPr>
              <w:t>在重点发展区建设智能养殖示范场，配备自动化饲喂、环境控制、疫病监测等智能装备，建设“智慧牧场”，实现养殖过程的智能化管理。</w:t>
            </w:r>
          </w:p>
        </w:tc>
        <w:tc>
          <w:tcPr>
            <w:tcW w:w="0" w:type="auto"/>
          </w:tcPr>
          <w:p>
            <w:pPr>
              <w:widowControl/>
              <w:spacing w:line="240" w:lineRule="auto"/>
              <w:ind w:firstLine="0" w:firstLineChars="0"/>
              <w:jc w:val="center"/>
              <w:rPr>
                <w:rFonts w:hint="eastAsia" w:ascii="仿宋_GB2312" w:hAnsi="等线" w:cs="宋体"/>
                <w:kern w:val="0"/>
                <w:sz w:val="28"/>
                <w:szCs w:val="28"/>
              </w:rPr>
            </w:pPr>
            <w:r>
              <w:rPr>
                <w:rFonts w:hint="eastAsia" w:ascii="仿宋_GB2312"/>
                <w:sz w:val="28"/>
                <w:szCs w:val="28"/>
              </w:rPr>
              <w:t>5000</w:t>
            </w:r>
          </w:p>
        </w:tc>
        <w:tc>
          <w:tcPr>
            <w:tcW w:w="0" w:type="auto"/>
          </w:tcPr>
          <w:p>
            <w:pPr>
              <w:widowControl/>
              <w:spacing w:line="240" w:lineRule="auto"/>
              <w:ind w:firstLine="0" w:firstLineChars="0"/>
              <w:jc w:val="center"/>
              <w:rPr>
                <w:rFonts w:hint="eastAsia" w:ascii="仿宋_GB2312" w:hAnsi="等线" w:cs="宋体"/>
                <w:kern w:val="0"/>
                <w:sz w:val="28"/>
                <w:szCs w:val="28"/>
              </w:rPr>
            </w:pPr>
            <w:r>
              <w:rPr>
                <w:rFonts w:hint="eastAsia" w:ascii="仿宋_GB2312"/>
                <w:sz w:val="28"/>
                <w:szCs w:val="28"/>
              </w:rPr>
              <w:t>2026～2028年</w:t>
            </w:r>
          </w:p>
        </w:tc>
        <w:tc>
          <w:tcPr>
            <w:tcW w:w="0" w:type="auto"/>
          </w:tcPr>
          <w:p>
            <w:pPr>
              <w:widowControl/>
              <w:spacing w:line="240" w:lineRule="auto"/>
              <w:ind w:firstLine="0" w:firstLineChars="0"/>
              <w:jc w:val="center"/>
              <w:rPr>
                <w:rFonts w:hint="eastAsia" w:ascii="仿宋_GB2312" w:hAnsi="等线" w:cs="宋体"/>
                <w:kern w:val="0"/>
                <w:sz w:val="28"/>
                <w:szCs w:val="28"/>
              </w:rPr>
            </w:pPr>
            <w:r>
              <w:rPr>
                <w:rFonts w:hint="eastAsia" w:ascii="仿宋_GB2312"/>
                <w:sz w:val="28"/>
                <w:szCs w:val="28"/>
              </w:rPr>
              <w:t>期限内完成建设</w:t>
            </w:r>
          </w:p>
        </w:tc>
        <w:tc>
          <w:tcPr>
            <w:tcW w:w="0" w:type="auto"/>
          </w:tcPr>
          <w:p>
            <w:pPr>
              <w:widowControl/>
              <w:spacing w:line="240" w:lineRule="auto"/>
              <w:ind w:firstLine="0" w:firstLineChars="0"/>
              <w:jc w:val="left"/>
              <w:rPr>
                <w:rFonts w:hint="eastAsia" w:ascii="仿宋_GB2312" w:hAnsi="宋体" w:cs="宋体"/>
                <w:kern w:val="0"/>
                <w:sz w:val="28"/>
                <w:szCs w:val="28"/>
              </w:rPr>
            </w:pPr>
            <w:r>
              <w:rPr>
                <w:rFonts w:hint="eastAsia" w:ascii="仿宋_GB2312" w:hAnsi="宋体" w:cs="宋体"/>
                <w:kern w:val="0"/>
                <w:sz w:val="28"/>
                <w:szCs w:val="28"/>
              </w:rPr>
              <w:t>相关乡镇</w:t>
            </w:r>
          </w:p>
        </w:tc>
      </w:tr>
    </w:tbl>
    <w:p>
      <w:pPr>
        <w:pStyle w:val="3"/>
        <w:ind w:firstLine="643"/>
        <w:sectPr>
          <w:pgSz w:w="16838" w:h="11906" w:orient="landscape"/>
          <w:pgMar w:top="1800" w:right="1440" w:bottom="1800" w:left="1440" w:header="851" w:footer="992" w:gutter="0"/>
          <w:cols w:space="425" w:num="1"/>
          <w:docGrid w:type="lines" w:linePitch="408" w:charSpace="0"/>
        </w:sectPr>
      </w:pPr>
    </w:p>
    <w:p>
      <w:pPr>
        <w:pStyle w:val="2"/>
        <w:ind w:firstLine="643"/>
      </w:pPr>
      <w:bookmarkStart w:id="77" w:name="_Toc240753891"/>
      <w:r>
        <w:rPr>
          <w:rFonts w:hint="eastAsia" w:ascii="仿宋_GB2312"/>
        </w:rPr>
        <w:drawing>
          <wp:anchor distT="0" distB="0" distL="114300" distR="114300" simplePos="0" relativeHeight="251659264" behindDoc="1" locked="0" layoutInCell="1" allowOverlap="1">
            <wp:simplePos x="0" y="0"/>
            <wp:positionH relativeFrom="column">
              <wp:posOffset>-637540</wp:posOffset>
            </wp:positionH>
            <wp:positionV relativeFrom="paragraph">
              <wp:posOffset>19050</wp:posOffset>
            </wp:positionV>
            <wp:extent cx="6591300" cy="8820150"/>
            <wp:effectExtent l="0" t="0" r="0" b="0"/>
            <wp:wrapNone/>
            <wp:docPr id="52766626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666260" name="图片 2"/>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6591300" cy="8820150"/>
                    </a:xfrm>
                    <a:prstGeom prst="rect">
                      <a:avLst/>
                    </a:prstGeom>
                  </pic:spPr>
                </pic:pic>
              </a:graphicData>
            </a:graphic>
          </wp:anchor>
        </w:drawing>
      </w:r>
      <w:r>
        <w:rPr>
          <w:rFonts w:hint="eastAsia"/>
        </w:rPr>
        <w:t>附件二：</w:t>
      </w:r>
      <w:r>
        <w:t>规划图件</w:t>
      </w:r>
      <w:bookmarkEnd w:id="77"/>
    </w:p>
    <w:p>
      <w:pPr>
        <w:ind w:firstLine="600"/>
        <w:rPr>
          <w:rFonts w:ascii="仿宋_GB2312"/>
        </w:rPr>
        <w:sectPr>
          <w:pgSz w:w="11906" w:h="16838"/>
          <w:pgMar w:top="1440" w:right="1800" w:bottom="1440" w:left="1800" w:header="851" w:footer="992" w:gutter="0"/>
          <w:cols w:space="425" w:num="1"/>
          <w:docGrid w:type="lines" w:linePitch="312" w:charSpace="0"/>
        </w:sectPr>
      </w:pPr>
    </w:p>
    <w:p>
      <w:pPr>
        <w:ind w:firstLine="720"/>
        <w:rPr>
          <w:rFonts w:ascii="仿宋_GB2312"/>
          <w:sz w:val="36"/>
          <w:szCs w:val="36"/>
        </w:rPr>
      </w:pPr>
      <w:r>
        <w:rPr>
          <w:rFonts w:hint="eastAsia" w:ascii="仿宋_GB2312"/>
          <w:sz w:val="36"/>
          <w:szCs w:val="36"/>
        </w:rPr>
        <w:drawing>
          <wp:anchor distT="0" distB="0" distL="114300" distR="114300" simplePos="0" relativeHeight="251660288" behindDoc="0" locked="0" layoutInCell="1" allowOverlap="1">
            <wp:simplePos x="0" y="0"/>
            <wp:positionH relativeFrom="column">
              <wp:posOffset>-391160</wp:posOffset>
            </wp:positionH>
            <wp:positionV relativeFrom="paragraph">
              <wp:posOffset>9525</wp:posOffset>
            </wp:positionV>
            <wp:extent cx="6286500" cy="8839200"/>
            <wp:effectExtent l="0" t="0" r="0" b="0"/>
            <wp:wrapNone/>
            <wp:docPr id="25613749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137496" name="图片 3"/>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6286500" cy="8839200"/>
                    </a:xfrm>
                    <a:prstGeom prst="rect">
                      <a:avLst/>
                    </a:prstGeom>
                  </pic:spPr>
                </pic:pic>
              </a:graphicData>
            </a:graphic>
          </wp:anchor>
        </w:drawing>
      </w:r>
    </w:p>
    <w:p>
      <w:pPr>
        <w:ind w:firstLine="0" w:firstLineChars="0"/>
        <w:jc w:val="center"/>
        <w:rPr>
          <w:rFonts w:ascii="仿宋_GB2312"/>
          <w:sz w:val="36"/>
          <w:szCs w:val="36"/>
        </w:rPr>
      </w:pPr>
      <w:r>
        <w:rPr>
          <w:rFonts w:hint="eastAsia" w:ascii="仿宋_GB2312"/>
          <w:sz w:val="36"/>
          <w:szCs w:val="36"/>
        </w:rPr>
        <w:t>闽清县十五五畜牧业规划产业布局示意图</w:t>
      </w:r>
    </w:p>
    <w:p>
      <w:pPr>
        <w:ind w:firstLine="0" w:firstLineChars="0"/>
        <w:jc w:val="center"/>
        <w:rPr>
          <w:rFonts w:ascii="仿宋_GB2312"/>
          <w:sz w:val="36"/>
          <w:szCs w:val="36"/>
        </w:rPr>
      </w:pPr>
    </w:p>
    <w:p>
      <w:pPr>
        <w:ind w:firstLine="0" w:firstLineChars="0"/>
        <w:jc w:val="center"/>
        <w:rPr>
          <w:rFonts w:ascii="仿宋_GB2312"/>
          <w:sz w:val="36"/>
          <w:szCs w:val="36"/>
        </w:rPr>
      </w:pPr>
    </w:p>
    <w:p>
      <w:pPr>
        <w:ind w:firstLine="0" w:firstLineChars="0"/>
        <w:jc w:val="center"/>
        <w:rPr>
          <w:rFonts w:ascii="仿宋_GB2312"/>
          <w:sz w:val="36"/>
          <w:szCs w:val="36"/>
        </w:rPr>
      </w:pPr>
    </w:p>
    <w:p>
      <w:pPr>
        <w:ind w:firstLine="0" w:firstLineChars="0"/>
        <w:jc w:val="center"/>
        <w:rPr>
          <w:rFonts w:ascii="仿宋_GB2312"/>
          <w:sz w:val="36"/>
          <w:szCs w:val="36"/>
        </w:rPr>
      </w:pPr>
    </w:p>
    <w:p>
      <w:pPr>
        <w:ind w:firstLine="0" w:firstLineChars="0"/>
        <w:jc w:val="center"/>
        <w:rPr>
          <w:rFonts w:ascii="仿宋_GB2312"/>
          <w:sz w:val="36"/>
          <w:szCs w:val="36"/>
        </w:rPr>
      </w:pPr>
    </w:p>
    <w:p>
      <w:pPr>
        <w:ind w:firstLine="0" w:firstLineChars="0"/>
        <w:jc w:val="center"/>
        <w:rPr>
          <w:rFonts w:ascii="仿宋_GB2312"/>
          <w:sz w:val="36"/>
          <w:szCs w:val="36"/>
        </w:rPr>
      </w:pPr>
    </w:p>
    <w:p>
      <w:pPr>
        <w:ind w:firstLine="0" w:firstLineChars="0"/>
        <w:jc w:val="center"/>
        <w:rPr>
          <w:rFonts w:ascii="仿宋_GB2312"/>
          <w:sz w:val="36"/>
          <w:szCs w:val="36"/>
        </w:rPr>
      </w:pPr>
    </w:p>
    <w:p>
      <w:pPr>
        <w:ind w:firstLine="0" w:firstLineChars="0"/>
        <w:jc w:val="center"/>
        <w:rPr>
          <w:rFonts w:ascii="仿宋_GB2312"/>
          <w:sz w:val="36"/>
          <w:szCs w:val="36"/>
        </w:rPr>
      </w:pPr>
    </w:p>
    <w:p>
      <w:pPr>
        <w:ind w:firstLine="0" w:firstLineChars="0"/>
        <w:jc w:val="center"/>
        <w:rPr>
          <w:rFonts w:ascii="仿宋_GB2312"/>
          <w:sz w:val="36"/>
          <w:szCs w:val="36"/>
        </w:rPr>
      </w:pPr>
    </w:p>
    <w:p>
      <w:pPr>
        <w:ind w:firstLine="0" w:firstLineChars="0"/>
        <w:jc w:val="center"/>
        <w:rPr>
          <w:rFonts w:ascii="仿宋_GB2312"/>
          <w:sz w:val="36"/>
          <w:szCs w:val="36"/>
        </w:rPr>
      </w:pPr>
    </w:p>
    <w:p>
      <w:pPr>
        <w:ind w:firstLine="0" w:firstLineChars="0"/>
        <w:jc w:val="center"/>
        <w:rPr>
          <w:rFonts w:ascii="仿宋_GB2312"/>
          <w:sz w:val="36"/>
          <w:szCs w:val="36"/>
        </w:rPr>
      </w:pPr>
    </w:p>
    <w:p>
      <w:pPr>
        <w:ind w:firstLine="0" w:firstLineChars="0"/>
        <w:jc w:val="center"/>
        <w:rPr>
          <w:rFonts w:ascii="仿宋_GB2312"/>
          <w:sz w:val="36"/>
          <w:szCs w:val="36"/>
        </w:rPr>
      </w:pPr>
    </w:p>
    <w:p>
      <w:pPr>
        <w:ind w:firstLine="0" w:firstLineChars="0"/>
        <w:jc w:val="center"/>
        <w:rPr>
          <w:rFonts w:ascii="仿宋_GB2312"/>
          <w:sz w:val="36"/>
          <w:szCs w:val="36"/>
        </w:rPr>
      </w:pPr>
    </w:p>
    <w:p>
      <w:pPr>
        <w:ind w:firstLine="0" w:firstLineChars="0"/>
        <w:jc w:val="center"/>
        <w:rPr>
          <w:rFonts w:ascii="仿宋_GB2312"/>
          <w:sz w:val="36"/>
          <w:szCs w:val="36"/>
        </w:rPr>
      </w:pPr>
    </w:p>
    <w:p>
      <w:pPr>
        <w:ind w:firstLine="0" w:firstLineChars="0"/>
        <w:jc w:val="center"/>
        <w:rPr>
          <w:rFonts w:ascii="仿宋_GB2312"/>
          <w:sz w:val="36"/>
          <w:szCs w:val="36"/>
        </w:rPr>
      </w:pPr>
    </w:p>
    <w:p>
      <w:pPr>
        <w:ind w:firstLine="0" w:firstLineChars="0"/>
        <w:jc w:val="center"/>
        <w:rPr>
          <w:rFonts w:ascii="仿宋_GB2312"/>
          <w:sz w:val="36"/>
          <w:szCs w:val="36"/>
        </w:rPr>
      </w:pPr>
    </w:p>
    <w:p>
      <w:pPr>
        <w:ind w:firstLine="0" w:firstLineChars="0"/>
        <w:jc w:val="center"/>
        <w:rPr>
          <w:rFonts w:ascii="仿宋_GB2312"/>
          <w:sz w:val="36"/>
          <w:szCs w:val="36"/>
        </w:rPr>
      </w:pPr>
    </w:p>
    <w:p>
      <w:pPr>
        <w:ind w:firstLine="0" w:firstLineChars="0"/>
        <w:jc w:val="center"/>
        <w:rPr>
          <w:rFonts w:ascii="仿宋_GB2312"/>
          <w:sz w:val="36"/>
          <w:szCs w:val="36"/>
        </w:rPr>
      </w:pPr>
    </w:p>
    <w:p>
      <w:pPr>
        <w:ind w:firstLine="0" w:firstLineChars="0"/>
        <w:jc w:val="center"/>
        <w:rPr>
          <w:rFonts w:ascii="仿宋_GB2312"/>
          <w:sz w:val="36"/>
          <w:szCs w:val="36"/>
        </w:rPr>
      </w:pPr>
    </w:p>
    <w:p>
      <w:pPr>
        <w:ind w:firstLine="0" w:firstLineChars="0"/>
        <w:jc w:val="center"/>
        <w:rPr>
          <w:rFonts w:ascii="仿宋_GB2312"/>
          <w:sz w:val="36"/>
          <w:szCs w:val="36"/>
        </w:rPr>
      </w:pPr>
    </w:p>
    <w:p>
      <w:pPr>
        <w:ind w:firstLine="0" w:firstLineChars="0"/>
        <w:jc w:val="center"/>
        <w:rPr>
          <w:rFonts w:ascii="仿宋_GB2312"/>
          <w:sz w:val="36"/>
          <w:szCs w:val="36"/>
        </w:rPr>
      </w:pPr>
    </w:p>
    <w:p>
      <w:pPr>
        <w:ind w:firstLine="0" w:firstLineChars="0"/>
        <w:jc w:val="center"/>
        <w:rPr>
          <w:rFonts w:ascii="仿宋_GB2312"/>
          <w:sz w:val="36"/>
          <w:szCs w:val="36"/>
        </w:rPr>
      </w:pPr>
    </w:p>
    <w:p>
      <w:pPr>
        <w:pStyle w:val="2"/>
        <w:ind w:firstLine="643"/>
      </w:pPr>
      <w:bookmarkStart w:id="78" w:name="_Toc240753892"/>
      <w:r>
        <w:rPr>
          <w:rFonts w:hint="eastAsia"/>
        </w:rPr>
        <w:t>附件三：</w:t>
      </w:r>
      <w:r>
        <w:t>规划依据</w:t>
      </w:r>
      <w:bookmarkEnd w:id="78"/>
    </w:p>
    <w:p>
      <w:pPr>
        <w:numPr>
          <w:ilvl w:val="2"/>
          <w:numId w:val="1"/>
        </w:numPr>
        <w:ind w:left="0" w:firstLine="640"/>
        <w:jc w:val="left"/>
        <w:rPr>
          <w:rFonts w:ascii="仿宋_GB2312"/>
          <w:sz w:val="32"/>
          <w:szCs w:val="32"/>
        </w:rPr>
      </w:pPr>
      <w:r>
        <w:rPr>
          <w:rFonts w:hint="eastAsia" w:ascii="仿宋_GB2312"/>
          <w:sz w:val="32"/>
          <w:szCs w:val="32"/>
        </w:rPr>
        <w:t>《中华人民共和国生态环境法典》</w:t>
      </w:r>
    </w:p>
    <w:p>
      <w:pPr>
        <w:numPr>
          <w:ilvl w:val="2"/>
          <w:numId w:val="1"/>
        </w:numPr>
        <w:ind w:left="0" w:firstLine="640"/>
        <w:jc w:val="left"/>
        <w:rPr>
          <w:rFonts w:ascii="仿宋_GB2312"/>
          <w:sz w:val="32"/>
          <w:szCs w:val="32"/>
        </w:rPr>
      </w:pPr>
      <w:r>
        <w:rPr>
          <w:rFonts w:hint="eastAsia" w:ascii="仿宋_GB2312"/>
          <w:sz w:val="32"/>
          <w:szCs w:val="32"/>
        </w:rPr>
        <w:t>《中华人民共和国畜牧法》（2023年修订）</w:t>
      </w:r>
    </w:p>
    <w:p>
      <w:pPr>
        <w:numPr>
          <w:ilvl w:val="2"/>
          <w:numId w:val="1"/>
        </w:numPr>
        <w:ind w:left="0" w:firstLine="640"/>
        <w:jc w:val="left"/>
        <w:rPr>
          <w:rFonts w:ascii="仿宋_GB2312"/>
          <w:sz w:val="32"/>
          <w:szCs w:val="32"/>
        </w:rPr>
      </w:pPr>
      <w:r>
        <w:rPr>
          <w:rFonts w:hint="eastAsia" w:ascii="仿宋_GB2312"/>
          <w:sz w:val="32"/>
          <w:szCs w:val="32"/>
        </w:rPr>
        <w:t>《畜禽规模养殖污染防治条例》（国务院令第643号）</w:t>
      </w:r>
    </w:p>
    <w:p>
      <w:pPr>
        <w:numPr>
          <w:ilvl w:val="2"/>
          <w:numId w:val="1"/>
        </w:numPr>
        <w:ind w:left="0" w:firstLine="640"/>
        <w:jc w:val="left"/>
        <w:rPr>
          <w:rFonts w:ascii="仿宋_GB2312"/>
          <w:sz w:val="32"/>
          <w:szCs w:val="32"/>
        </w:rPr>
      </w:pPr>
      <w:r>
        <w:rPr>
          <w:rFonts w:hint="eastAsia" w:ascii="仿宋_GB2312"/>
          <w:sz w:val="32"/>
          <w:szCs w:val="32"/>
        </w:rPr>
        <w:t>《国务院办公厅关于促进畜牧业高质量发展的意见》（国办发〔2020〕31号）</w:t>
      </w:r>
    </w:p>
    <w:p>
      <w:pPr>
        <w:numPr>
          <w:ilvl w:val="2"/>
          <w:numId w:val="1"/>
        </w:numPr>
        <w:ind w:left="0" w:firstLine="640"/>
        <w:jc w:val="left"/>
        <w:rPr>
          <w:rFonts w:ascii="仿宋_GB2312"/>
          <w:sz w:val="32"/>
          <w:szCs w:val="32"/>
        </w:rPr>
      </w:pPr>
      <w:r>
        <w:rPr>
          <w:rFonts w:hint="eastAsia" w:ascii="仿宋_GB2312"/>
          <w:sz w:val="32"/>
          <w:szCs w:val="32"/>
        </w:rPr>
        <w:t>中共中央国务院，《关于进一步深化农村改革扎实推进乡村全面振兴的意见》</w:t>
      </w:r>
    </w:p>
    <w:p>
      <w:pPr>
        <w:numPr>
          <w:ilvl w:val="2"/>
          <w:numId w:val="1"/>
        </w:numPr>
        <w:ind w:left="0" w:firstLine="640"/>
        <w:jc w:val="left"/>
        <w:rPr>
          <w:rFonts w:ascii="仿宋_GB2312"/>
          <w:sz w:val="32"/>
          <w:szCs w:val="32"/>
        </w:rPr>
      </w:pPr>
      <w:r>
        <w:rPr>
          <w:rFonts w:hint="eastAsia" w:ascii="仿宋_GB2312"/>
          <w:sz w:val="32"/>
          <w:szCs w:val="32"/>
        </w:rPr>
        <w:t>农业农村部，《关于落实中共中央国务院关于学习运用“千村示范、万村整治”工程经验有力有效推进乡村全面振兴工作部署的实施意见》</w:t>
      </w:r>
    </w:p>
    <w:p>
      <w:pPr>
        <w:numPr>
          <w:ilvl w:val="2"/>
          <w:numId w:val="1"/>
        </w:numPr>
        <w:ind w:left="0" w:firstLine="640"/>
        <w:jc w:val="left"/>
        <w:rPr>
          <w:rFonts w:ascii="仿宋_GB2312"/>
          <w:sz w:val="32"/>
          <w:szCs w:val="32"/>
        </w:rPr>
      </w:pPr>
      <w:r>
        <w:rPr>
          <w:rFonts w:hint="eastAsia" w:ascii="仿宋_GB2312"/>
          <w:sz w:val="32"/>
          <w:szCs w:val="32"/>
        </w:rPr>
        <w:t>农业农村部，《关于大力发展智慧农业的指导意见》</w:t>
      </w:r>
      <w:r>
        <w:rPr>
          <w:rFonts w:ascii="Cambria Math" w:hAnsi="Cambria Math" w:cs="Cambria Math"/>
          <w:sz w:val="32"/>
          <w:szCs w:val="32"/>
        </w:rPr>
        <w:t>​</w:t>
      </w:r>
    </w:p>
    <w:p>
      <w:pPr>
        <w:numPr>
          <w:ilvl w:val="2"/>
          <w:numId w:val="1"/>
        </w:numPr>
        <w:ind w:left="0" w:firstLine="640"/>
        <w:jc w:val="left"/>
        <w:rPr>
          <w:rFonts w:ascii="仿宋_GB2312"/>
          <w:sz w:val="32"/>
          <w:szCs w:val="32"/>
        </w:rPr>
      </w:pPr>
      <w:r>
        <w:rPr>
          <w:rFonts w:hint="eastAsia" w:ascii="仿宋_GB2312"/>
          <w:sz w:val="32"/>
          <w:szCs w:val="32"/>
        </w:rPr>
        <w:t>农业农村部，《关于印发〈畜禽粪污土地承载力测算技术指南〉的通知》（农办牧〔2018〕1号）、国家农业行业标准《畜禽粪便土地承载力测算方法》（NY/T3877-2021）</w:t>
      </w:r>
    </w:p>
    <w:p>
      <w:pPr>
        <w:numPr>
          <w:ilvl w:val="2"/>
          <w:numId w:val="1"/>
        </w:numPr>
        <w:ind w:left="0" w:firstLine="640"/>
        <w:jc w:val="left"/>
        <w:rPr>
          <w:rFonts w:ascii="仿宋_GB2312"/>
          <w:sz w:val="32"/>
          <w:szCs w:val="32"/>
        </w:rPr>
      </w:pPr>
      <w:r>
        <w:rPr>
          <w:rFonts w:hint="eastAsia" w:ascii="仿宋_GB2312"/>
          <w:sz w:val="32"/>
          <w:szCs w:val="32"/>
        </w:rPr>
        <w:t>农业农村部，《非洲猪瘟疫情应急实施方案（第六版）》</w:t>
      </w:r>
      <w:r>
        <w:rPr>
          <w:rFonts w:ascii="Cambria Math" w:hAnsi="Cambria Math" w:cs="Cambria Math"/>
          <w:sz w:val="32"/>
          <w:szCs w:val="32"/>
        </w:rPr>
        <w:t>​</w:t>
      </w:r>
    </w:p>
    <w:p>
      <w:pPr>
        <w:numPr>
          <w:ilvl w:val="2"/>
          <w:numId w:val="1"/>
        </w:numPr>
        <w:ind w:left="0" w:firstLine="640"/>
        <w:jc w:val="left"/>
        <w:rPr>
          <w:rFonts w:ascii="仿宋_GB2312"/>
          <w:sz w:val="32"/>
          <w:szCs w:val="32"/>
        </w:rPr>
      </w:pPr>
      <w:r>
        <w:rPr>
          <w:rFonts w:hint="eastAsia" w:ascii="仿宋_GB2312"/>
          <w:sz w:val="32"/>
          <w:szCs w:val="32"/>
        </w:rPr>
        <w:t>农业农村部，《兽药质量监督抽查检验管理办法》</w:t>
      </w:r>
      <w:r>
        <w:rPr>
          <w:rFonts w:ascii="Cambria Math" w:hAnsi="Cambria Math" w:cs="Cambria Math"/>
          <w:sz w:val="32"/>
          <w:szCs w:val="32"/>
        </w:rPr>
        <w:t>​</w:t>
      </w:r>
    </w:p>
    <w:p>
      <w:pPr>
        <w:numPr>
          <w:ilvl w:val="2"/>
          <w:numId w:val="1"/>
        </w:numPr>
        <w:ind w:left="0" w:firstLine="640"/>
        <w:jc w:val="left"/>
        <w:rPr>
          <w:rFonts w:ascii="仿宋_GB2312"/>
          <w:sz w:val="32"/>
          <w:szCs w:val="32"/>
        </w:rPr>
      </w:pPr>
      <w:r>
        <w:rPr>
          <w:rFonts w:hint="eastAsia" w:ascii="仿宋_GB2312"/>
          <w:sz w:val="32"/>
          <w:szCs w:val="32"/>
        </w:rPr>
        <w:t>中国动物疫病预防控制中心，《2024年国家动物疫病免疫技术指南》</w:t>
      </w:r>
      <w:r>
        <w:rPr>
          <w:rFonts w:ascii="Cambria Math" w:hAnsi="Cambria Math" w:cs="Cambria Math"/>
          <w:sz w:val="32"/>
          <w:szCs w:val="32"/>
        </w:rPr>
        <w:t>​</w:t>
      </w:r>
    </w:p>
    <w:p>
      <w:pPr>
        <w:numPr>
          <w:ilvl w:val="2"/>
          <w:numId w:val="1"/>
        </w:numPr>
        <w:ind w:left="0" w:firstLine="640"/>
        <w:jc w:val="left"/>
        <w:rPr>
          <w:rFonts w:ascii="仿宋_GB2312"/>
          <w:sz w:val="32"/>
          <w:szCs w:val="32"/>
        </w:rPr>
      </w:pPr>
      <w:r>
        <w:rPr>
          <w:rFonts w:hint="eastAsia" w:ascii="仿宋_GB2312"/>
          <w:sz w:val="32"/>
          <w:szCs w:val="32"/>
        </w:rPr>
        <w:t>中国动物疫病预防控制中心，《2024年国家动物疫病监测实施意见》《2024年规模养殖场等场所非洲猪瘟监测方案》《2024年种畜禽场主要疫病监测方案》</w:t>
      </w:r>
      <w:r>
        <w:rPr>
          <w:rFonts w:ascii="Cambria Math" w:hAnsi="Cambria Math" w:cs="Cambria Math"/>
          <w:sz w:val="32"/>
          <w:szCs w:val="32"/>
        </w:rPr>
        <w:t>​</w:t>
      </w:r>
    </w:p>
    <w:p>
      <w:pPr>
        <w:numPr>
          <w:ilvl w:val="2"/>
          <w:numId w:val="1"/>
        </w:numPr>
        <w:ind w:left="0" w:firstLine="640"/>
        <w:jc w:val="left"/>
        <w:rPr>
          <w:rFonts w:ascii="仿宋_GB2312"/>
          <w:sz w:val="32"/>
          <w:szCs w:val="32"/>
        </w:rPr>
      </w:pPr>
      <w:r>
        <w:rPr>
          <w:rFonts w:hint="eastAsia" w:ascii="仿宋_GB2312"/>
          <w:sz w:val="32"/>
          <w:szCs w:val="32"/>
        </w:rPr>
        <w:t>福建省人民政府办公厅，《关于印发促进畜牧业高质量发展实施方案的通知》</w:t>
      </w:r>
      <w:r>
        <w:rPr>
          <w:rFonts w:ascii="Cambria Math" w:hAnsi="Cambria Math" w:cs="Cambria Math"/>
          <w:sz w:val="32"/>
          <w:szCs w:val="32"/>
        </w:rPr>
        <w:t>​</w:t>
      </w:r>
      <w:r>
        <w:rPr>
          <w:rFonts w:hint="eastAsia" w:ascii="仿宋_GB2312" w:hAnsi="仿宋_GB2312" w:cs="仿宋_GB2312"/>
          <w:sz w:val="32"/>
          <w:szCs w:val="32"/>
        </w:rPr>
        <w:t>（闽政办〔</w:t>
      </w:r>
      <w:r>
        <w:rPr>
          <w:rFonts w:hint="eastAsia" w:ascii="仿宋_GB2312"/>
          <w:sz w:val="32"/>
          <w:szCs w:val="32"/>
        </w:rPr>
        <w:t>2021〕3号）</w:t>
      </w:r>
    </w:p>
    <w:p>
      <w:pPr>
        <w:numPr>
          <w:ilvl w:val="2"/>
          <w:numId w:val="1"/>
        </w:numPr>
        <w:ind w:left="0" w:firstLine="640"/>
        <w:jc w:val="left"/>
        <w:rPr>
          <w:rFonts w:ascii="仿宋_GB2312"/>
          <w:sz w:val="32"/>
          <w:szCs w:val="32"/>
        </w:rPr>
      </w:pPr>
      <w:r>
        <w:rPr>
          <w:rFonts w:hint="eastAsia" w:ascii="仿宋_GB2312"/>
          <w:sz w:val="32"/>
          <w:szCs w:val="32"/>
        </w:rPr>
        <w:t>福建省农业农村厅，《关于印发福建省推进畜禽粪污资源化利用专项行动方案（2024-2025年）的通知》（闽农牧〔2023〕7号）</w:t>
      </w:r>
    </w:p>
    <w:p>
      <w:pPr>
        <w:numPr>
          <w:ilvl w:val="2"/>
          <w:numId w:val="1"/>
        </w:numPr>
        <w:ind w:left="0" w:firstLine="640"/>
        <w:jc w:val="left"/>
        <w:rPr>
          <w:rFonts w:ascii="仿宋_GB2312"/>
          <w:sz w:val="32"/>
          <w:szCs w:val="32"/>
        </w:rPr>
      </w:pPr>
      <w:r>
        <w:rPr>
          <w:rFonts w:hint="eastAsia" w:ascii="仿宋_GB2312"/>
          <w:sz w:val="32"/>
          <w:szCs w:val="32"/>
        </w:rPr>
        <w:t>福建省农业农村厅，《关于进一步加强畜禽粪污资源化利用工作指导和服务的通知》（闽农牧函〔2023〕16号）2023年</w:t>
      </w:r>
    </w:p>
    <w:p>
      <w:pPr>
        <w:numPr>
          <w:ilvl w:val="2"/>
          <w:numId w:val="1"/>
        </w:numPr>
        <w:ind w:left="0" w:firstLine="640"/>
        <w:jc w:val="left"/>
        <w:rPr>
          <w:rFonts w:ascii="仿宋_GB2312"/>
          <w:sz w:val="32"/>
          <w:szCs w:val="32"/>
        </w:rPr>
      </w:pPr>
      <w:r>
        <w:rPr>
          <w:rFonts w:hint="eastAsia" w:ascii="仿宋_GB2312"/>
          <w:sz w:val="32"/>
          <w:szCs w:val="32"/>
        </w:rPr>
        <w:t>福建省农业农村厅，（DB35/T2078</w:t>
      </w:r>
      <w:r>
        <w:rPr>
          <w:rFonts w:ascii="Courier New" w:hAnsi="Courier New" w:cs="Courier New"/>
          <w:sz w:val="32"/>
          <w:szCs w:val="32"/>
        </w:rPr>
        <w:t>–</w:t>
      </w:r>
      <w:r>
        <w:rPr>
          <w:rFonts w:hint="eastAsia" w:ascii="仿宋_GB2312"/>
          <w:sz w:val="32"/>
          <w:szCs w:val="32"/>
        </w:rPr>
        <w:t>2022）《2024年畜禽粪污资源化利用提升工程项目相关政策》</w:t>
      </w:r>
      <w:r>
        <w:rPr>
          <w:rFonts w:ascii="Cambria Math" w:hAnsi="Cambria Math" w:cs="Cambria Math"/>
          <w:sz w:val="32"/>
          <w:szCs w:val="32"/>
        </w:rPr>
        <w:t>​</w:t>
      </w:r>
      <w:r>
        <w:rPr>
          <w:rFonts w:hint="eastAsia" w:ascii="仿宋_GB2312" w:hAnsi="仿宋_GB2312" w:cs="仿宋_GB2312"/>
          <w:sz w:val="32"/>
          <w:szCs w:val="32"/>
        </w:rPr>
        <w:t>、</w:t>
      </w:r>
      <w:r>
        <w:rPr>
          <w:rFonts w:ascii="Cambria Math" w:hAnsi="Cambria Math" w:cs="Cambria Math"/>
          <w:sz w:val="32"/>
          <w:szCs w:val="32"/>
        </w:rPr>
        <w:t>​</w:t>
      </w:r>
      <w:r>
        <w:rPr>
          <w:rFonts w:hint="eastAsia" w:ascii="仿宋_GB2312" w:hAnsi="仿宋_GB2312" w:cs="仿宋_GB2312"/>
          <w:sz w:val="32"/>
          <w:szCs w:val="32"/>
        </w:rPr>
        <w:t>福建省地方标准《沼液还田土地承载力测算技术规范》</w:t>
      </w:r>
    </w:p>
    <w:p>
      <w:pPr>
        <w:numPr>
          <w:ilvl w:val="2"/>
          <w:numId w:val="1"/>
        </w:numPr>
        <w:ind w:left="0" w:firstLine="640"/>
        <w:jc w:val="left"/>
        <w:rPr>
          <w:rFonts w:ascii="仿宋_GB2312"/>
          <w:sz w:val="32"/>
          <w:szCs w:val="32"/>
        </w:rPr>
      </w:pPr>
      <w:r>
        <w:rPr>
          <w:rFonts w:hint="eastAsia" w:ascii="仿宋_GB2312"/>
          <w:sz w:val="32"/>
          <w:szCs w:val="32"/>
        </w:rPr>
        <w:t>福建省地方标准DB35/2324-2026《福建省畜禽养殖业污染排放与控制标准》（2026年5月实施）</w:t>
      </w:r>
    </w:p>
    <w:p>
      <w:pPr>
        <w:numPr>
          <w:ilvl w:val="2"/>
          <w:numId w:val="1"/>
        </w:numPr>
        <w:ind w:left="0" w:firstLine="640"/>
        <w:jc w:val="left"/>
        <w:rPr>
          <w:rFonts w:ascii="仿宋_GB2312"/>
          <w:sz w:val="32"/>
          <w:szCs w:val="32"/>
        </w:rPr>
      </w:pPr>
      <w:r>
        <w:rPr>
          <w:rFonts w:hint="eastAsia" w:ascii="仿宋_GB2312"/>
          <w:sz w:val="32"/>
          <w:szCs w:val="32"/>
        </w:rPr>
        <w:t>《闽江流域（闽清段）畜禽污染管控细则（2025修订版）》</w:t>
      </w:r>
    </w:p>
    <w:p>
      <w:pPr>
        <w:numPr>
          <w:ilvl w:val="2"/>
          <w:numId w:val="1"/>
        </w:numPr>
        <w:ind w:left="0" w:firstLine="640"/>
        <w:jc w:val="left"/>
        <w:rPr>
          <w:rFonts w:ascii="仿宋_GB2312"/>
          <w:sz w:val="32"/>
          <w:szCs w:val="32"/>
        </w:rPr>
      </w:pPr>
      <w:r>
        <w:rPr>
          <w:rFonts w:hint="eastAsia" w:ascii="仿宋_GB2312"/>
          <w:sz w:val="32"/>
          <w:szCs w:val="32"/>
        </w:rPr>
        <w:t>福州市农业农村局福州市海洋与渔业局福州市林业局福州市财政局关于印发《加快特色现代农业发展十条措施》榕农规〔2026〕1号</w:t>
      </w:r>
    </w:p>
    <w:p>
      <w:pPr>
        <w:numPr>
          <w:ilvl w:val="2"/>
          <w:numId w:val="1"/>
        </w:numPr>
        <w:ind w:left="0" w:firstLine="640"/>
        <w:jc w:val="left"/>
        <w:rPr>
          <w:rFonts w:ascii="仿宋_GB2312"/>
          <w:sz w:val="32"/>
          <w:szCs w:val="32"/>
        </w:rPr>
      </w:pPr>
      <w:r>
        <w:rPr>
          <w:rFonts w:hint="eastAsia" w:ascii="仿宋_GB2312"/>
          <w:sz w:val="32"/>
          <w:szCs w:val="32"/>
        </w:rPr>
        <w:t>福州市人民政府办公厅，《福州市促进畜牧业高质量发展实施方案》</w:t>
      </w:r>
    </w:p>
    <w:p>
      <w:pPr>
        <w:numPr>
          <w:ilvl w:val="2"/>
          <w:numId w:val="1"/>
        </w:numPr>
        <w:ind w:left="0" w:firstLine="640"/>
        <w:jc w:val="left"/>
        <w:rPr>
          <w:rFonts w:ascii="仿宋_GB2312"/>
          <w:sz w:val="32"/>
          <w:szCs w:val="32"/>
        </w:rPr>
      </w:pPr>
      <w:r>
        <w:rPr>
          <w:rFonts w:hint="eastAsia" w:ascii="仿宋_GB2312"/>
          <w:sz w:val="32"/>
          <w:szCs w:val="32"/>
        </w:rPr>
        <w:t>《福州市畜牧业“十四五”发展规划》（榕农综〔2022〕147号）</w:t>
      </w:r>
    </w:p>
    <w:p>
      <w:pPr>
        <w:numPr>
          <w:ilvl w:val="2"/>
          <w:numId w:val="1"/>
        </w:numPr>
        <w:ind w:left="0" w:firstLine="640"/>
        <w:jc w:val="left"/>
        <w:rPr>
          <w:rFonts w:ascii="仿宋_GB2312"/>
          <w:sz w:val="32"/>
          <w:szCs w:val="32"/>
        </w:rPr>
      </w:pPr>
      <w:r>
        <w:rPr>
          <w:rFonts w:hint="eastAsia" w:ascii="仿宋_GB2312"/>
          <w:sz w:val="32"/>
          <w:szCs w:val="32"/>
        </w:rPr>
        <w:t>《福州市加快推进畜禽养殖废弃物资源化利用工作方案》（榕政办〔2017〕344号）</w:t>
      </w:r>
    </w:p>
    <w:p>
      <w:pPr>
        <w:numPr>
          <w:ilvl w:val="2"/>
          <w:numId w:val="1"/>
        </w:numPr>
        <w:ind w:left="0" w:firstLine="640"/>
        <w:jc w:val="left"/>
        <w:rPr>
          <w:rFonts w:ascii="仿宋_GB2312"/>
          <w:sz w:val="32"/>
          <w:szCs w:val="32"/>
        </w:rPr>
      </w:pPr>
      <w:r>
        <w:rPr>
          <w:rFonts w:hint="eastAsia" w:ascii="仿宋_GB2312"/>
          <w:sz w:val="32"/>
          <w:szCs w:val="32"/>
        </w:rPr>
        <w:t>福州市农业农村局，《福州市2025年省级财政畜禽粪污资源化利用提升工程项目申报的政策公开》</w:t>
      </w:r>
    </w:p>
    <w:p>
      <w:pPr>
        <w:ind w:firstLine="640"/>
        <w:jc w:val="left"/>
        <w:rPr>
          <w:rFonts w:ascii="仿宋_GB2312"/>
          <w:sz w:val="32"/>
          <w:szCs w:val="32"/>
        </w:rPr>
      </w:pPr>
      <w:r>
        <w:rPr>
          <w:rFonts w:hint="eastAsia" w:ascii="仿宋_GB2312"/>
          <w:sz w:val="32"/>
          <w:szCs w:val="32"/>
        </w:rPr>
        <w:t>24闽清县人民政府办公室，《闽清县人民政府办公室关于印发全面推进畜禽养殖污染治理工作方案的通知》梅政办规〔2022〕1号</w:t>
      </w:r>
    </w:p>
    <w:p>
      <w:pPr>
        <w:ind w:firstLine="640"/>
        <w:jc w:val="left"/>
        <w:rPr>
          <w:rFonts w:ascii="仿宋_GB2312"/>
          <w:sz w:val="32"/>
          <w:szCs w:val="32"/>
        </w:rPr>
      </w:pPr>
      <w:r>
        <w:rPr>
          <w:rFonts w:hint="eastAsia" w:ascii="仿宋_GB2312"/>
          <w:sz w:val="32"/>
          <w:szCs w:val="32"/>
        </w:rPr>
        <w:t>25.闽清县水质提升“百日攻坚”专项行动（2025年启动）</w:t>
      </w:r>
    </w:p>
    <w:p>
      <w:pPr>
        <w:ind w:firstLine="640"/>
        <w:jc w:val="left"/>
        <w:rPr>
          <w:rFonts w:ascii="仿宋_GB2312"/>
          <w:sz w:val="36"/>
          <w:szCs w:val="36"/>
        </w:rPr>
      </w:pPr>
      <w:r>
        <w:rPr>
          <w:rFonts w:hint="eastAsia" w:ascii="仿宋_GB2312"/>
          <w:sz w:val="32"/>
          <w:szCs w:val="32"/>
        </w:rPr>
        <w:t>26.《闽清县“十四五”畜牧业发展规划》</w:t>
      </w:r>
    </w:p>
    <w:p>
      <w:pPr>
        <w:ind w:firstLine="720"/>
        <w:jc w:val="left"/>
        <w:rPr>
          <w:rFonts w:ascii="仿宋_GB2312"/>
          <w:sz w:val="36"/>
          <w:szCs w:val="36"/>
        </w:rPr>
        <w:sectPr>
          <w:pgSz w:w="11906" w:h="16838"/>
          <w:pgMar w:top="1440" w:right="1800" w:bottom="1440" w:left="1800" w:header="851" w:footer="992" w:gutter="0"/>
          <w:cols w:space="425" w:num="1"/>
          <w:docGrid w:type="lines" w:linePitch="312" w:charSpace="0"/>
        </w:sectPr>
      </w:pPr>
    </w:p>
    <w:p>
      <w:pPr>
        <w:pStyle w:val="2"/>
        <w:ind w:firstLine="0" w:firstLineChars="0"/>
        <w:jc w:val="left"/>
        <w:rPr>
          <w:rFonts w:hint="eastAsia" w:ascii="仿宋_GB2312" w:hAnsi="宋体" w:eastAsia="仿宋_GB2312" w:cstheme="minorBidi"/>
          <w:sz w:val="30"/>
          <w:szCs w:val="22"/>
        </w:rPr>
      </w:pPr>
      <w:bookmarkStart w:id="79" w:name="_Toc240753893"/>
      <w:r>
        <w:rPr>
          <w:rStyle w:val="29"/>
          <w:rFonts w:hint="eastAsia" w:ascii="仿宋_GB2312" w:hAnsi="宋体" w:eastAsia="仿宋_GB2312"/>
          <w:b w:val="0"/>
        </w:rPr>
        <w:t>附件四</w:t>
      </w:r>
      <w:r>
        <w:rPr>
          <w:rFonts w:hint="eastAsia" w:ascii="仿宋_GB2312" w:hAnsi="宋体" w:eastAsia="仿宋_GB2312"/>
        </w:rPr>
        <w:t>：“十四五”期间</w:t>
      </w:r>
      <w:bookmarkStart w:id="80" w:name="OLE_LINK69"/>
      <w:r>
        <w:rPr>
          <w:rFonts w:hint="eastAsia" w:ascii="仿宋_GB2312" w:hAnsi="宋体" w:eastAsia="仿宋_GB2312"/>
        </w:rPr>
        <w:t>闽清县畜禽产业发展指标</w:t>
      </w:r>
      <w:bookmarkEnd w:id="79"/>
    </w:p>
    <w:p>
      <w:pPr>
        <w:spacing w:before="156" w:beforeLines="50" w:after="156" w:afterLines="50"/>
        <w:ind w:firstLine="0" w:firstLineChars="0"/>
        <w:jc w:val="center"/>
        <w:rPr>
          <w:rFonts w:ascii="仿宋_GB2312"/>
          <w:b/>
          <w:bCs/>
        </w:rPr>
      </w:pPr>
      <w:r>
        <w:rPr>
          <w:rFonts w:hint="eastAsia" w:ascii="仿宋_GB2312"/>
          <w:b/>
          <w:bCs/>
        </w:rPr>
        <w:t>表</w:t>
      </w:r>
      <w:r>
        <w:rPr>
          <w:rFonts w:ascii="仿宋_GB2312"/>
          <w:b/>
          <w:bCs/>
        </w:rPr>
        <w:t>1</w:t>
      </w:r>
      <w:r>
        <w:rPr>
          <w:rFonts w:hint="eastAsia" w:ascii="仿宋_GB2312"/>
          <w:b/>
          <w:bCs/>
        </w:rPr>
        <w:t>“</w:t>
      </w:r>
      <w:bookmarkEnd w:id="80"/>
      <w:r>
        <w:rPr>
          <w:rFonts w:hint="eastAsia" w:ascii="仿宋_GB2312"/>
          <w:b/>
          <w:bCs/>
        </w:rPr>
        <w:t>十四五”期间闽清县畜禽产业发展现状</w:t>
      </w:r>
    </w:p>
    <w:tbl>
      <w:tblPr>
        <w:tblStyle w:val="67"/>
        <w:tblW w:w="5000" w:type="pct"/>
        <w:tblInd w:w="0" w:type="dxa"/>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Layout w:type="autofit"/>
        <w:tblCellMar>
          <w:top w:w="0" w:type="dxa"/>
          <w:left w:w="108" w:type="dxa"/>
          <w:bottom w:w="0" w:type="dxa"/>
          <w:right w:w="108" w:type="dxa"/>
        </w:tblCellMar>
      </w:tblPr>
      <w:tblGrid>
        <w:gridCol w:w="1495"/>
        <w:gridCol w:w="1952"/>
        <w:gridCol w:w="1720"/>
        <w:gridCol w:w="1721"/>
        <w:gridCol w:w="1634"/>
      </w:tblGrid>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c>
          <w:tcPr>
            <w:tcW w:w="877" w:type="pct"/>
            <w:tcBorders>
              <w:bottom w:val="single" w:color="7E7E7E" w:themeColor="text1" w:themeTint="80" w:sz="4" w:space="0"/>
              <w:insideH w:val="single" w:sz="4" w:space="0"/>
            </w:tcBorders>
          </w:tcPr>
          <w:p>
            <w:pPr>
              <w:adjustRightInd w:val="0"/>
              <w:snapToGrid w:val="0"/>
              <w:spacing w:line="240" w:lineRule="auto"/>
              <w:ind w:firstLine="0" w:firstLineChars="0"/>
              <w:rPr>
                <w:rFonts w:ascii="仿宋_GB2312" w:hAnsi="Calibri" w:cs="Times New Roman"/>
                <w:b/>
                <w:bCs/>
                <w:sz w:val="28"/>
                <w:szCs w:val="28"/>
              </w:rPr>
            </w:pPr>
            <w:r>
              <w:rPr>
                <w:rFonts w:hint="eastAsia" w:ascii="仿宋_GB2312" w:hAnsi="Calibri" w:cs="Times New Roman"/>
                <w:b/>
                <w:bCs/>
                <w:sz w:val="28"/>
                <w:szCs w:val="28"/>
              </w:rPr>
              <w:t>年份</w:t>
            </w:r>
          </w:p>
        </w:tc>
        <w:tc>
          <w:tcPr>
            <w:tcW w:w="1145" w:type="pct"/>
            <w:tcBorders>
              <w:bottom w:val="single" w:color="7E7E7E" w:themeColor="text1" w:themeTint="80" w:sz="4" w:space="0"/>
              <w:insideH w:val="single" w:sz="4" w:space="0"/>
            </w:tcBorders>
          </w:tcPr>
          <w:p>
            <w:pPr>
              <w:adjustRightInd w:val="0"/>
              <w:snapToGrid w:val="0"/>
              <w:spacing w:line="240" w:lineRule="auto"/>
              <w:ind w:firstLine="0" w:firstLineChars="0"/>
              <w:jc w:val="center"/>
              <w:rPr>
                <w:rFonts w:ascii="仿宋_GB2312" w:hAnsi="Calibri" w:cs="Times New Roman"/>
                <w:b/>
                <w:bCs/>
                <w:sz w:val="28"/>
                <w:szCs w:val="28"/>
              </w:rPr>
            </w:pPr>
            <w:r>
              <w:rPr>
                <w:rFonts w:hint="eastAsia" w:ascii="仿宋_GB2312" w:hAnsi="Calibri" w:cs="Times New Roman"/>
                <w:b/>
                <w:bCs/>
                <w:sz w:val="28"/>
                <w:szCs w:val="28"/>
              </w:rPr>
              <w:t>肉蛋奶总产量（吨）</w:t>
            </w:r>
          </w:p>
        </w:tc>
        <w:tc>
          <w:tcPr>
            <w:tcW w:w="1009" w:type="pct"/>
            <w:tcBorders>
              <w:bottom w:val="single" w:color="7E7E7E" w:themeColor="text1" w:themeTint="80" w:sz="4" w:space="0"/>
              <w:insideH w:val="single" w:sz="4" w:space="0"/>
            </w:tcBorders>
          </w:tcPr>
          <w:p>
            <w:pPr>
              <w:adjustRightInd w:val="0"/>
              <w:snapToGrid w:val="0"/>
              <w:spacing w:line="240" w:lineRule="auto"/>
              <w:ind w:firstLine="0" w:firstLineChars="0"/>
              <w:jc w:val="center"/>
              <w:rPr>
                <w:rFonts w:ascii="仿宋_GB2312" w:hAnsi="Calibri" w:cs="Times New Roman"/>
                <w:b/>
                <w:bCs/>
                <w:sz w:val="28"/>
                <w:szCs w:val="28"/>
              </w:rPr>
            </w:pPr>
            <w:r>
              <w:rPr>
                <w:rFonts w:hint="eastAsia" w:ascii="仿宋_GB2312" w:hAnsi="Calibri" w:cs="Times New Roman"/>
                <w:b/>
                <w:bCs/>
                <w:sz w:val="28"/>
                <w:szCs w:val="28"/>
              </w:rPr>
              <w:t>肉类产量（吨）</w:t>
            </w:r>
          </w:p>
        </w:tc>
        <w:tc>
          <w:tcPr>
            <w:tcW w:w="1009" w:type="pct"/>
            <w:tcBorders>
              <w:bottom w:val="single" w:color="7E7E7E" w:themeColor="text1" w:themeTint="80" w:sz="4" w:space="0"/>
              <w:insideH w:val="single" w:sz="4" w:space="0"/>
            </w:tcBorders>
          </w:tcPr>
          <w:p>
            <w:pPr>
              <w:adjustRightInd w:val="0"/>
              <w:snapToGrid w:val="0"/>
              <w:spacing w:line="240" w:lineRule="auto"/>
              <w:ind w:firstLine="0" w:firstLineChars="0"/>
              <w:jc w:val="center"/>
              <w:rPr>
                <w:rFonts w:ascii="仿宋_GB2312" w:hAnsi="Calibri" w:cs="Times New Roman"/>
                <w:b/>
                <w:bCs/>
                <w:sz w:val="28"/>
                <w:szCs w:val="28"/>
              </w:rPr>
            </w:pPr>
            <w:r>
              <w:rPr>
                <w:rFonts w:hint="eastAsia" w:ascii="仿宋_GB2312" w:hAnsi="Calibri" w:cs="Times New Roman"/>
                <w:b/>
                <w:bCs/>
                <w:sz w:val="28"/>
                <w:szCs w:val="28"/>
              </w:rPr>
              <w:t>禽蛋产量（吨）</w:t>
            </w:r>
          </w:p>
        </w:tc>
        <w:tc>
          <w:tcPr>
            <w:tcW w:w="958" w:type="pct"/>
            <w:tcBorders>
              <w:bottom w:val="single" w:color="7E7E7E" w:themeColor="text1" w:themeTint="80" w:sz="4" w:space="0"/>
              <w:insideH w:val="single" w:sz="4" w:space="0"/>
            </w:tcBorders>
          </w:tcPr>
          <w:p>
            <w:pPr>
              <w:adjustRightInd w:val="0"/>
              <w:snapToGrid w:val="0"/>
              <w:spacing w:line="240" w:lineRule="auto"/>
              <w:ind w:firstLine="0" w:firstLineChars="0"/>
              <w:jc w:val="center"/>
              <w:rPr>
                <w:rFonts w:ascii="仿宋_GB2312" w:hAnsi="Calibri" w:cs="Times New Roman"/>
                <w:b/>
                <w:bCs/>
                <w:sz w:val="28"/>
                <w:szCs w:val="28"/>
              </w:rPr>
            </w:pPr>
            <w:r>
              <w:rPr>
                <w:rFonts w:hint="eastAsia" w:ascii="仿宋_GB2312" w:hAnsi="Calibri" w:cs="Times New Roman"/>
                <w:b/>
                <w:bCs/>
                <w:sz w:val="28"/>
                <w:szCs w:val="28"/>
              </w:rPr>
              <w:t>奶类产量（吨）</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c>
          <w:tcPr>
            <w:tcW w:w="877" w:type="pct"/>
            <w:tcBorders>
              <w:top w:val="single" w:color="7E7E7E" w:themeColor="text1" w:themeTint="80" w:sz="4" w:space="0"/>
              <w:bottom w:val="single" w:color="7E7E7E" w:themeColor="text1" w:themeTint="80" w:sz="4" w:space="0"/>
            </w:tcBorders>
          </w:tcPr>
          <w:p>
            <w:pPr>
              <w:spacing w:line="240" w:lineRule="auto"/>
              <w:ind w:firstLine="0" w:firstLineChars="0"/>
              <w:rPr>
                <w:rFonts w:ascii="仿宋_GB2312" w:hAnsi="Calibri" w:cs="Times New Roman"/>
                <w:b/>
                <w:bCs/>
                <w:sz w:val="28"/>
                <w:szCs w:val="28"/>
              </w:rPr>
            </w:pPr>
            <w:r>
              <w:rPr>
                <w:rFonts w:hint="eastAsia" w:ascii="仿宋_GB2312" w:hAnsi="Calibri" w:cs="Times New Roman"/>
                <w:b/>
                <w:bCs/>
                <w:sz w:val="28"/>
                <w:szCs w:val="28"/>
              </w:rPr>
              <w:t>2020</w:t>
            </w:r>
          </w:p>
        </w:tc>
        <w:tc>
          <w:tcPr>
            <w:tcW w:w="1145" w:type="pct"/>
            <w:tcBorders>
              <w:top w:val="single" w:color="7E7E7E" w:themeColor="text1" w:themeTint="80" w:sz="4" w:space="0"/>
              <w:bottom w:val="single" w:color="7E7E7E" w:themeColor="text1" w:themeTint="80" w:sz="4" w:space="0"/>
            </w:tcBorders>
          </w:tcPr>
          <w:p>
            <w:pPr>
              <w:spacing w:line="240" w:lineRule="auto"/>
              <w:ind w:firstLine="0" w:firstLineChars="0"/>
              <w:jc w:val="center"/>
              <w:rPr>
                <w:rFonts w:ascii="仿宋_GB2312" w:hAnsi="Calibri" w:cs="Times New Roman"/>
                <w:sz w:val="28"/>
                <w:szCs w:val="28"/>
              </w:rPr>
            </w:pPr>
            <w:r>
              <w:rPr>
                <w:rFonts w:ascii="仿宋_GB2312" w:hAnsi="Calibri" w:cs="Times New Roman"/>
                <w:sz w:val="28"/>
                <w:szCs w:val="28"/>
              </w:rPr>
              <w:t>31009.32</w:t>
            </w:r>
          </w:p>
        </w:tc>
        <w:tc>
          <w:tcPr>
            <w:tcW w:w="1009" w:type="pct"/>
            <w:tcBorders>
              <w:top w:val="single" w:color="7E7E7E" w:themeColor="text1" w:themeTint="80" w:sz="4" w:space="0"/>
              <w:bottom w:val="single" w:color="7E7E7E" w:themeColor="text1" w:themeTint="80" w:sz="4" w:space="0"/>
            </w:tcBorders>
          </w:tcPr>
          <w:p>
            <w:pPr>
              <w:spacing w:line="240" w:lineRule="auto"/>
              <w:ind w:firstLine="0" w:firstLineChars="0"/>
              <w:jc w:val="center"/>
              <w:rPr>
                <w:rFonts w:ascii="仿宋_GB2312" w:hAnsi="Calibri" w:cs="Times New Roman"/>
                <w:sz w:val="28"/>
                <w:szCs w:val="28"/>
              </w:rPr>
            </w:pPr>
            <w:r>
              <w:rPr>
                <w:rFonts w:hint="eastAsia" w:ascii="仿宋_GB2312" w:hAnsi="Calibri" w:cs="Times New Roman"/>
                <w:sz w:val="28"/>
                <w:szCs w:val="28"/>
              </w:rPr>
              <w:t>14893.32</w:t>
            </w:r>
          </w:p>
        </w:tc>
        <w:tc>
          <w:tcPr>
            <w:tcW w:w="1009" w:type="pct"/>
            <w:tcBorders>
              <w:top w:val="single" w:color="7E7E7E" w:themeColor="text1" w:themeTint="80" w:sz="4" w:space="0"/>
              <w:bottom w:val="single" w:color="7E7E7E" w:themeColor="text1" w:themeTint="80" w:sz="4" w:space="0"/>
            </w:tcBorders>
          </w:tcPr>
          <w:p>
            <w:pPr>
              <w:spacing w:line="240" w:lineRule="auto"/>
              <w:ind w:firstLine="0" w:firstLineChars="0"/>
              <w:jc w:val="center"/>
              <w:rPr>
                <w:rFonts w:ascii="仿宋_GB2312" w:hAnsi="Calibri" w:cs="Times New Roman"/>
                <w:sz w:val="28"/>
                <w:szCs w:val="28"/>
              </w:rPr>
            </w:pPr>
            <w:r>
              <w:rPr>
                <w:rFonts w:hint="eastAsia" w:ascii="仿宋_GB2312" w:hAnsi="Calibri" w:cs="Times New Roman"/>
                <w:sz w:val="28"/>
                <w:szCs w:val="28"/>
              </w:rPr>
              <w:t>16065.00</w:t>
            </w:r>
          </w:p>
        </w:tc>
        <w:tc>
          <w:tcPr>
            <w:tcW w:w="958" w:type="pct"/>
            <w:tcBorders>
              <w:top w:val="single" w:color="7E7E7E" w:themeColor="text1" w:themeTint="80" w:sz="4" w:space="0"/>
              <w:bottom w:val="single" w:color="7E7E7E" w:themeColor="text1" w:themeTint="80" w:sz="4" w:space="0"/>
            </w:tcBorders>
          </w:tcPr>
          <w:p>
            <w:pPr>
              <w:spacing w:line="240" w:lineRule="auto"/>
              <w:ind w:firstLine="0" w:firstLineChars="0"/>
              <w:jc w:val="center"/>
              <w:rPr>
                <w:rFonts w:ascii="仿宋_GB2312" w:hAnsi="Calibri" w:cs="Times New Roman"/>
                <w:sz w:val="28"/>
                <w:szCs w:val="28"/>
              </w:rPr>
            </w:pPr>
            <w:r>
              <w:rPr>
                <w:rFonts w:hint="eastAsia" w:ascii="仿宋_GB2312" w:hAnsi="Calibri" w:cs="Times New Roman"/>
                <w:sz w:val="28"/>
                <w:szCs w:val="28"/>
              </w:rPr>
              <w:t>47.50</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c>
          <w:tcPr>
            <w:tcW w:w="877" w:type="pct"/>
          </w:tcPr>
          <w:p>
            <w:pPr>
              <w:spacing w:line="240" w:lineRule="auto"/>
              <w:ind w:firstLine="0" w:firstLineChars="0"/>
              <w:rPr>
                <w:rFonts w:ascii="仿宋_GB2312" w:hAnsi="Calibri" w:cs="Times New Roman"/>
                <w:b/>
                <w:bCs/>
                <w:sz w:val="28"/>
                <w:szCs w:val="28"/>
              </w:rPr>
            </w:pPr>
            <w:r>
              <w:rPr>
                <w:rFonts w:hint="eastAsia" w:ascii="仿宋_GB2312" w:hAnsi="Calibri" w:cs="Times New Roman"/>
                <w:b/>
                <w:bCs/>
                <w:sz w:val="28"/>
                <w:szCs w:val="28"/>
              </w:rPr>
              <w:t>2021</w:t>
            </w:r>
          </w:p>
        </w:tc>
        <w:tc>
          <w:tcPr>
            <w:tcW w:w="1145" w:type="pct"/>
          </w:tcPr>
          <w:p>
            <w:pPr>
              <w:spacing w:line="240" w:lineRule="auto"/>
              <w:ind w:firstLine="0" w:firstLineChars="0"/>
              <w:jc w:val="center"/>
              <w:rPr>
                <w:rFonts w:ascii="仿宋_GB2312" w:hAnsi="Calibri" w:cs="Times New Roman"/>
                <w:sz w:val="28"/>
                <w:szCs w:val="28"/>
              </w:rPr>
            </w:pPr>
            <w:r>
              <w:rPr>
                <w:rFonts w:ascii="仿宋_GB2312" w:hAnsi="Calibri" w:cs="Times New Roman"/>
                <w:sz w:val="28"/>
                <w:szCs w:val="28"/>
              </w:rPr>
              <w:t>34955.14</w:t>
            </w:r>
          </w:p>
        </w:tc>
        <w:tc>
          <w:tcPr>
            <w:tcW w:w="1009" w:type="pct"/>
          </w:tcPr>
          <w:p>
            <w:pPr>
              <w:spacing w:line="240" w:lineRule="auto"/>
              <w:ind w:firstLine="0" w:firstLineChars="0"/>
              <w:jc w:val="center"/>
              <w:rPr>
                <w:rFonts w:ascii="仿宋_GB2312" w:hAnsi="Calibri" w:cs="Times New Roman"/>
                <w:sz w:val="28"/>
                <w:szCs w:val="28"/>
              </w:rPr>
            </w:pPr>
            <w:r>
              <w:rPr>
                <w:rFonts w:hint="eastAsia" w:ascii="仿宋_GB2312" w:hAnsi="Calibri" w:cs="Times New Roman"/>
                <w:sz w:val="28"/>
                <w:szCs w:val="28"/>
              </w:rPr>
              <w:t>16441.76</w:t>
            </w:r>
          </w:p>
        </w:tc>
        <w:tc>
          <w:tcPr>
            <w:tcW w:w="1009" w:type="pct"/>
          </w:tcPr>
          <w:p>
            <w:pPr>
              <w:spacing w:line="240" w:lineRule="auto"/>
              <w:ind w:firstLine="0" w:firstLineChars="0"/>
              <w:jc w:val="center"/>
              <w:rPr>
                <w:rFonts w:ascii="仿宋_GB2312" w:hAnsi="Calibri" w:cs="Times New Roman"/>
                <w:sz w:val="28"/>
                <w:szCs w:val="28"/>
              </w:rPr>
            </w:pPr>
            <w:r>
              <w:rPr>
                <w:rFonts w:hint="eastAsia" w:ascii="仿宋_GB2312" w:hAnsi="Calibri" w:cs="Times New Roman"/>
                <w:sz w:val="28"/>
                <w:szCs w:val="28"/>
              </w:rPr>
              <w:t>18462.40</w:t>
            </w:r>
          </w:p>
        </w:tc>
        <w:tc>
          <w:tcPr>
            <w:tcW w:w="958" w:type="pct"/>
          </w:tcPr>
          <w:p>
            <w:pPr>
              <w:spacing w:line="240" w:lineRule="auto"/>
              <w:ind w:firstLine="0" w:firstLineChars="0"/>
              <w:jc w:val="center"/>
              <w:rPr>
                <w:rFonts w:ascii="仿宋_GB2312" w:hAnsi="Calibri" w:cs="Times New Roman"/>
                <w:sz w:val="28"/>
                <w:szCs w:val="28"/>
              </w:rPr>
            </w:pPr>
            <w:r>
              <w:rPr>
                <w:rFonts w:hint="eastAsia" w:ascii="仿宋_GB2312" w:hAnsi="Calibri" w:cs="Times New Roman"/>
                <w:sz w:val="28"/>
                <w:szCs w:val="28"/>
              </w:rPr>
              <w:t>47.49</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PrEx>
        <w:tc>
          <w:tcPr>
            <w:tcW w:w="877" w:type="pct"/>
            <w:tcBorders>
              <w:top w:val="single" w:color="7E7E7E" w:themeColor="text1" w:themeTint="80" w:sz="4" w:space="0"/>
              <w:bottom w:val="single" w:color="7E7E7E" w:themeColor="text1" w:themeTint="80" w:sz="4" w:space="0"/>
            </w:tcBorders>
          </w:tcPr>
          <w:p>
            <w:pPr>
              <w:spacing w:line="240" w:lineRule="auto"/>
              <w:ind w:firstLine="0" w:firstLineChars="0"/>
              <w:rPr>
                <w:rFonts w:ascii="仿宋_GB2312" w:hAnsi="Calibri" w:cs="Times New Roman"/>
                <w:b/>
                <w:bCs/>
                <w:sz w:val="28"/>
                <w:szCs w:val="28"/>
              </w:rPr>
            </w:pPr>
            <w:r>
              <w:rPr>
                <w:rFonts w:hint="eastAsia" w:ascii="仿宋_GB2312" w:hAnsi="Calibri" w:cs="Times New Roman"/>
                <w:b/>
                <w:bCs/>
                <w:sz w:val="28"/>
                <w:szCs w:val="28"/>
              </w:rPr>
              <w:t>2022</w:t>
            </w:r>
          </w:p>
        </w:tc>
        <w:tc>
          <w:tcPr>
            <w:tcW w:w="1145" w:type="pct"/>
            <w:tcBorders>
              <w:top w:val="single" w:color="7E7E7E" w:themeColor="text1" w:themeTint="80" w:sz="4" w:space="0"/>
              <w:bottom w:val="single" w:color="7E7E7E" w:themeColor="text1" w:themeTint="80" w:sz="4" w:space="0"/>
            </w:tcBorders>
          </w:tcPr>
          <w:p>
            <w:pPr>
              <w:spacing w:line="240" w:lineRule="auto"/>
              <w:ind w:firstLine="0" w:firstLineChars="0"/>
              <w:jc w:val="center"/>
              <w:rPr>
                <w:rFonts w:ascii="仿宋_GB2312" w:hAnsi="Calibri" w:cs="Times New Roman"/>
                <w:sz w:val="28"/>
                <w:szCs w:val="28"/>
              </w:rPr>
            </w:pPr>
            <w:r>
              <w:rPr>
                <w:rFonts w:ascii="仿宋_GB2312" w:hAnsi="Calibri" w:cs="Times New Roman"/>
                <w:sz w:val="28"/>
                <w:szCs w:val="28"/>
              </w:rPr>
              <w:t>37078.74</w:t>
            </w:r>
          </w:p>
        </w:tc>
        <w:tc>
          <w:tcPr>
            <w:tcW w:w="1009" w:type="pct"/>
            <w:tcBorders>
              <w:top w:val="single" w:color="7E7E7E" w:themeColor="text1" w:themeTint="80" w:sz="4" w:space="0"/>
              <w:bottom w:val="single" w:color="7E7E7E" w:themeColor="text1" w:themeTint="80" w:sz="4" w:space="0"/>
            </w:tcBorders>
          </w:tcPr>
          <w:p>
            <w:pPr>
              <w:spacing w:line="240" w:lineRule="auto"/>
              <w:ind w:firstLine="0" w:firstLineChars="0"/>
              <w:jc w:val="center"/>
              <w:rPr>
                <w:rFonts w:ascii="仿宋_GB2312" w:hAnsi="Calibri" w:cs="Times New Roman"/>
                <w:sz w:val="28"/>
                <w:szCs w:val="28"/>
              </w:rPr>
            </w:pPr>
            <w:r>
              <w:rPr>
                <w:rFonts w:hint="eastAsia" w:ascii="仿宋_GB2312" w:hAnsi="Calibri" w:cs="Times New Roman"/>
                <w:sz w:val="28"/>
                <w:szCs w:val="28"/>
              </w:rPr>
              <w:t>17261.04</w:t>
            </w:r>
          </w:p>
        </w:tc>
        <w:tc>
          <w:tcPr>
            <w:tcW w:w="1009" w:type="pct"/>
            <w:tcBorders>
              <w:top w:val="single" w:color="7E7E7E" w:themeColor="text1" w:themeTint="80" w:sz="4" w:space="0"/>
              <w:bottom w:val="single" w:color="7E7E7E" w:themeColor="text1" w:themeTint="80" w:sz="4" w:space="0"/>
            </w:tcBorders>
          </w:tcPr>
          <w:p>
            <w:pPr>
              <w:spacing w:line="240" w:lineRule="auto"/>
              <w:ind w:firstLine="0" w:firstLineChars="0"/>
              <w:jc w:val="center"/>
              <w:rPr>
                <w:rFonts w:ascii="仿宋_GB2312" w:hAnsi="Calibri" w:cs="Times New Roman"/>
                <w:sz w:val="28"/>
                <w:szCs w:val="28"/>
              </w:rPr>
            </w:pPr>
            <w:r>
              <w:rPr>
                <w:rFonts w:hint="eastAsia" w:ascii="仿宋_GB2312" w:hAnsi="Calibri" w:cs="Times New Roman"/>
                <w:sz w:val="28"/>
                <w:szCs w:val="28"/>
              </w:rPr>
              <w:t>19802.80</w:t>
            </w:r>
          </w:p>
        </w:tc>
        <w:tc>
          <w:tcPr>
            <w:tcW w:w="958" w:type="pct"/>
            <w:tcBorders>
              <w:top w:val="single" w:color="7E7E7E" w:themeColor="text1" w:themeTint="80" w:sz="4" w:space="0"/>
              <w:bottom w:val="single" w:color="7E7E7E" w:themeColor="text1" w:themeTint="80" w:sz="4" w:space="0"/>
            </w:tcBorders>
          </w:tcPr>
          <w:p>
            <w:pPr>
              <w:spacing w:line="240" w:lineRule="auto"/>
              <w:ind w:firstLine="0" w:firstLineChars="0"/>
              <w:jc w:val="center"/>
              <w:rPr>
                <w:rFonts w:ascii="仿宋_GB2312" w:hAnsi="Calibri" w:cs="Times New Roman"/>
                <w:sz w:val="28"/>
                <w:szCs w:val="28"/>
              </w:rPr>
            </w:pPr>
            <w:r>
              <w:rPr>
                <w:rFonts w:hint="eastAsia" w:ascii="仿宋_GB2312" w:hAnsi="Calibri" w:cs="Times New Roman"/>
                <w:sz w:val="28"/>
                <w:szCs w:val="28"/>
              </w:rPr>
              <w:t>12.95</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c>
          <w:tcPr>
            <w:tcW w:w="877" w:type="pct"/>
          </w:tcPr>
          <w:p>
            <w:pPr>
              <w:spacing w:line="240" w:lineRule="auto"/>
              <w:ind w:firstLine="0" w:firstLineChars="0"/>
              <w:rPr>
                <w:rFonts w:ascii="仿宋_GB2312" w:hAnsi="Calibri" w:cs="Times New Roman"/>
                <w:b/>
                <w:bCs/>
                <w:sz w:val="28"/>
                <w:szCs w:val="28"/>
              </w:rPr>
            </w:pPr>
            <w:r>
              <w:rPr>
                <w:rFonts w:hint="eastAsia" w:ascii="仿宋_GB2312" w:hAnsi="Calibri" w:cs="Times New Roman"/>
                <w:b/>
                <w:bCs/>
                <w:sz w:val="28"/>
                <w:szCs w:val="28"/>
              </w:rPr>
              <w:t>2023</w:t>
            </w:r>
          </w:p>
        </w:tc>
        <w:tc>
          <w:tcPr>
            <w:tcW w:w="1145" w:type="pct"/>
          </w:tcPr>
          <w:p>
            <w:pPr>
              <w:spacing w:line="240" w:lineRule="auto"/>
              <w:ind w:firstLine="0" w:firstLineChars="0"/>
              <w:jc w:val="center"/>
              <w:rPr>
                <w:rFonts w:ascii="仿宋_GB2312" w:hAnsi="Calibri" w:cs="Times New Roman"/>
                <w:sz w:val="28"/>
                <w:szCs w:val="28"/>
              </w:rPr>
            </w:pPr>
            <w:r>
              <w:rPr>
                <w:rFonts w:hint="eastAsia" w:ascii="仿宋_GB2312" w:hAnsi="Calibri" w:cs="Times New Roman"/>
                <w:sz w:val="28"/>
                <w:szCs w:val="28"/>
              </w:rPr>
              <w:t>43078.38</w:t>
            </w:r>
          </w:p>
        </w:tc>
        <w:tc>
          <w:tcPr>
            <w:tcW w:w="1009" w:type="pct"/>
          </w:tcPr>
          <w:p>
            <w:pPr>
              <w:spacing w:line="240" w:lineRule="auto"/>
              <w:ind w:firstLine="0" w:firstLineChars="0"/>
              <w:jc w:val="center"/>
              <w:rPr>
                <w:rFonts w:ascii="仿宋_GB2312" w:hAnsi="Calibri" w:cs="Times New Roman"/>
                <w:sz w:val="28"/>
                <w:szCs w:val="28"/>
              </w:rPr>
            </w:pPr>
            <w:r>
              <w:rPr>
                <w:rFonts w:hint="eastAsia" w:ascii="仿宋_GB2312" w:hAnsi="Calibri" w:cs="Times New Roman"/>
                <w:sz w:val="28"/>
                <w:szCs w:val="28"/>
              </w:rPr>
              <w:t>19321.79</w:t>
            </w:r>
          </w:p>
        </w:tc>
        <w:tc>
          <w:tcPr>
            <w:tcW w:w="1009" w:type="pct"/>
          </w:tcPr>
          <w:p>
            <w:pPr>
              <w:spacing w:line="240" w:lineRule="auto"/>
              <w:ind w:firstLine="0" w:firstLineChars="0"/>
              <w:jc w:val="center"/>
              <w:rPr>
                <w:rFonts w:ascii="仿宋_GB2312" w:hAnsi="Calibri" w:cs="Times New Roman"/>
                <w:sz w:val="28"/>
                <w:szCs w:val="28"/>
              </w:rPr>
            </w:pPr>
            <w:r>
              <w:rPr>
                <w:rFonts w:hint="eastAsia" w:ascii="仿宋_GB2312" w:hAnsi="Calibri" w:cs="Times New Roman"/>
                <w:sz w:val="28"/>
                <w:szCs w:val="28"/>
              </w:rPr>
              <w:t>23754.63</w:t>
            </w:r>
          </w:p>
        </w:tc>
        <w:tc>
          <w:tcPr>
            <w:tcW w:w="958" w:type="pct"/>
          </w:tcPr>
          <w:p>
            <w:pPr>
              <w:spacing w:line="240" w:lineRule="auto"/>
              <w:ind w:firstLine="0" w:firstLineChars="0"/>
              <w:jc w:val="center"/>
              <w:rPr>
                <w:rFonts w:ascii="仿宋_GB2312" w:hAnsi="Calibri" w:cs="Times New Roman"/>
                <w:sz w:val="28"/>
                <w:szCs w:val="28"/>
              </w:rPr>
            </w:pPr>
            <w:r>
              <w:rPr>
                <w:rFonts w:hint="eastAsia" w:ascii="仿宋_GB2312" w:hAnsi="Calibri" w:cs="Times New Roman"/>
                <w:sz w:val="28"/>
                <w:szCs w:val="28"/>
              </w:rPr>
              <w:t>1.96</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c>
          <w:tcPr>
            <w:tcW w:w="877" w:type="pct"/>
            <w:tcBorders>
              <w:top w:val="single" w:color="7E7E7E" w:themeColor="text1" w:themeTint="80" w:sz="4" w:space="0"/>
              <w:bottom w:val="single" w:color="7E7E7E" w:themeColor="text1" w:themeTint="80" w:sz="4" w:space="0"/>
            </w:tcBorders>
          </w:tcPr>
          <w:p>
            <w:pPr>
              <w:spacing w:line="240" w:lineRule="auto"/>
              <w:ind w:firstLine="0" w:firstLineChars="0"/>
              <w:rPr>
                <w:rFonts w:ascii="仿宋_GB2312" w:hAnsi="Calibri" w:cs="Times New Roman"/>
                <w:b/>
                <w:bCs/>
                <w:sz w:val="28"/>
                <w:szCs w:val="28"/>
              </w:rPr>
            </w:pPr>
            <w:r>
              <w:rPr>
                <w:rFonts w:hint="eastAsia" w:ascii="仿宋_GB2312" w:hAnsi="Calibri" w:cs="Times New Roman"/>
                <w:b/>
                <w:bCs/>
                <w:sz w:val="28"/>
                <w:szCs w:val="28"/>
              </w:rPr>
              <w:t>2024</w:t>
            </w:r>
          </w:p>
        </w:tc>
        <w:tc>
          <w:tcPr>
            <w:tcW w:w="1145" w:type="pct"/>
            <w:tcBorders>
              <w:top w:val="single" w:color="7E7E7E" w:themeColor="text1" w:themeTint="80" w:sz="4" w:space="0"/>
              <w:bottom w:val="single" w:color="7E7E7E" w:themeColor="text1" w:themeTint="80" w:sz="4" w:space="0"/>
            </w:tcBorders>
          </w:tcPr>
          <w:p>
            <w:pPr>
              <w:spacing w:line="240" w:lineRule="auto"/>
              <w:ind w:firstLine="0" w:firstLineChars="0"/>
              <w:jc w:val="center"/>
              <w:rPr>
                <w:rFonts w:ascii="仿宋_GB2312" w:hAnsi="Calibri" w:cs="Times New Roman"/>
                <w:sz w:val="28"/>
                <w:szCs w:val="28"/>
              </w:rPr>
            </w:pPr>
            <w:r>
              <w:rPr>
                <w:rFonts w:hint="eastAsia" w:ascii="仿宋_GB2312" w:hAnsi="Calibri" w:cs="Times New Roman"/>
                <w:sz w:val="28"/>
                <w:szCs w:val="28"/>
              </w:rPr>
              <w:t>45632.67</w:t>
            </w:r>
          </w:p>
        </w:tc>
        <w:tc>
          <w:tcPr>
            <w:tcW w:w="1009" w:type="pct"/>
            <w:tcBorders>
              <w:top w:val="single" w:color="7E7E7E" w:themeColor="text1" w:themeTint="80" w:sz="4" w:space="0"/>
              <w:bottom w:val="single" w:color="7E7E7E" w:themeColor="text1" w:themeTint="80" w:sz="4" w:space="0"/>
            </w:tcBorders>
          </w:tcPr>
          <w:p>
            <w:pPr>
              <w:spacing w:line="240" w:lineRule="auto"/>
              <w:ind w:firstLine="0" w:firstLineChars="0"/>
              <w:jc w:val="center"/>
              <w:rPr>
                <w:rFonts w:ascii="仿宋_GB2312" w:hAnsi="Calibri" w:cs="Times New Roman"/>
                <w:sz w:val="28"/>
                <w:szCs w:val="28"/>
              </w:rPr>
            </w:pPr>
            <w:r>
              <w:rPr>
                <w:rFonts w:hint="eastAsia" w:ascii="仿宋_GB2312" w:hAnsi="Calibri" w:cs="Times New Roman"/>
                <w:sz w:val="28"/>
                <w:szCs w:val="28"/>
              </w:rPr>
              <w:t>20236.79</w:t>
            </w:r>
          </w:p>
        </w:tc>
        <w:tc>
          <w:tcPr>
            <w:tcW w:w="1009" w:type="pct"/>
            <w:tcBorders>
              <w:top w:val="single" w:color="7E7E7E" w:themeColor="text1" w:themeTint="80" w:sz="4" w:space="0"/>
              <w:bottom w:val="single" w:color="7E7E7E" w:themeColor="text1" w:themeTint="80" w:sz="4" w:space="0"/>
            </w:tcBorders>
          </w:tcPr>
          <w:p>
            <w:pPr>
              <w:spacing w:line="240" w:lineRule="auto"/>
              <w:ind w:firstLine="0" w:firstLineChars="0"/>
              <w:jc w:val="center"/>
              <w:rPr>
                <w:rFonts w:ascii="仿宋_GB2312" w:hAnsi="Calibri" w:cs="Times New Roman"/>
                <w:sz w:val="28"/>
                <w:szCs w:val="28"/>
              </w:rPr>
            </w:pPr>
            <w:r>
              <w:rPr>
                <w:rFonts w:hint="eastAsia" w:ascii="仿宋_GB2312" w:hAnsi="Calibri" w:cs="Times New Roman"/>
                <w:sz w:val="28"/>
                <w:szCs w:val="28"/>
              </w:rPr>
              <w:t>25393.90</w:t>
            </w:r>
          </w:p>
        </w:tc>
        <w:tc>
          <w:tcPr>
            <w:tcW w:w="958" w:type="pct"/>
            <w:tcBorders>
              <w:top w:val="single" w:color="7E7E7E" w:themeColor="text1" w:themeTint="80" w:sz="4" w:space="0"/>
              <w:bottom w:val="single" w:color="7E7E7E" w:themeColor="text1" w:themeTint="80" w:sz="4" w:space="0"/>
            </w:tcBorders>
          </w:tcPr>
          <w:p>
            <w:pPr>
              <w:spacing w:line="240" w:lineRule="auto"/>
              <w:ind w:firstLine="0" w:firstLineChars="0"/>
              <w:jc w:val="center"/>
              <w:rPr>
                <w:rFonts w:ascii="仿宋_GB2312" w:hAnsi="Calibri" w:cs="Times New Roman"/>
                <w:sz w:val="28"/>
                <w:szCs w:val="28"/>
              </w:rPr>
            </w:pPr>
            <w:r>
              <w:rPr>
                <w:rFonts w:hint="eastAsia" w:ascii="仿宋_GB2312" w:hAnsi="Calibri" w:cs="Times New Roman"/>
                <w:sz w:val="28"/>
                <w:szCs w:val="28"/>
              </w:rPr>
              <w:t>1.98</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c>
          <w:tcPr>
            <w:tcW w:w="877" w:type="pct"/>
          </w:tcPr>
          <w:p>
            <w:pPr>
              <w:spacing w:line="240" w:lineRule="auto"/>
              <w:ind w:firstLine="0" w:firstLineChars="0"/>
              <w:rPr>
                <w:rFonts w:ascii="仿宋_GB2312" w:hAnsi="Calibri" w:cs="Times New Roman"/>
                <w:b/>
                <w:bCs/>
                <w:sz w:val="28"/>
                <w:szCs w:val="28"/>
              </w:rPr>
            </w:pPr>
            <w:r>
              <w:rPr>
                <w:rFonts w:hint="eastAsia" w:ascii="仿宋_GB2312" w:hAnsi="Calibri" w:cs="Times New Roman"/>
                <w:b/>
                <w:bCs/>
                <w:sz w:val="28"/>
                <w:szCs w:val="28"/>
              </w:rPr>
              <w:t>2025</w:t>
            </w:r>
          </w:p>
        </w:tc>
        <w:tc>
          <w:tcPr>
            <w:tcW w:w="1145" w:type="pct"/>
          </w:tcPr>
          <w:p>
            <w:pPr>
              <w:spacing w:line="240" w:lineRule="auto"/>
              <w:ind w:firstLine="0" w:firstLineChars="0"/>
              <w:jc w:val="center"/>
              <w:rPr>
                <w:rFonts w:ascii="仿宋_GB2312" w:hAnsi="Calibri" w:cs="Times New Roman"/>
                <w:sz w:val="28"/>
                <w:szCs w:val="28"/>
              </w:rPr>
            </w:pPr>
            <w:r>
              <w:rPr>
                <w:rFonts w:hint="eastAsia" w:ascii="仿宋_GB2312" w:hAnsi="Calibri" w:cs="Times New Roman"/>
                <w:sz w:val="28"/>
                <w:szCs w:val="28"/>
              </w:rPr>
              <w:t>49095.88</w:t>
            </w:r>
          </w:p>
        </w:tc>
        <w:tc>
          <w:tcPr>
            <w:tcW w:w="1009" w:type="pct"/>
          </w:tcPr>
          <w:p>
            <w:pPr>
              <w:spacing w:line="240" w:lineRule="auto"/>
              <w:ind w:firstLine="0" w:firstLineChars="0"/>
              <w:jc w:val="center"/>
              <w:rPr>
                <w:rFonts w:ascii="仿宋_GB2312" w:hAnsi="Calibri" w:cs="Times New Roman"/>
                <w:sz w:val="28"/>
                <w:szCs w:val="28"/>
              </w:rPr>
            </w:pPr>
            <w:r>
              <w:rPr>
                <w:rFonts w:hint="eastAsia" w:ascii="仿宋_GB2312" w:hAnsi="Calibri" w:cs="Times New Roman"/>
                <w:sz w:val="28"/>
                <w:szCs w:val="28"/>
              </w:rPr>
              <w:t>20190.40</w:t>
            </w:r>
          </w:p>
        </w:tc>
        <w:tc>
          <w:tcPr>
            <w:tcW w:w="1009" w:type="pct"/>
          </w:tcPr>
          <w:p>
            <w:pPr>
              <w:spacing w:line="240" w:lineRule="auto"/>
              <w:ind w:firstLine="0" w:firstLineChars="0"/>
              <w:jc w:val="center"/>
              <w:rPr>
                <w:rFonts w:ascii="仿宋_GB2312" w:hAnsi="Calibri" w:cs="Times New Roman"/>
                <w:sz w:val="28"/>
                <w:szCs w:val="28"/>
              </w:rPr>
            </w:pPr>
            <w:r>
              <w:rPr>
                <w:rFonts w:hint="eastAsia" w:ascii="仿宋_GB2312" w:hAnsi="Calibri" w:cs="Times New Roman"/>
                <w:sz w:val="28"/>
                <w:szCs w:val="28"/>
              </w:rPr>
              <w:t>28903.50</w:t>
            </w:r>
          </w:p>
        </w:tc>
        <w:tc>
          <w:tcPr>
            <w:tcW w:w="958" w:type="pct"/>
          </w:tcPr>
          <w:p>
            <w:pPr>
              <w:spacing w:line="240" w:lineRule="auto"/>
              <w:ind w:firstLine="0" w:firstLineChars="0"/>
              <w:jc w:val="center"/>
              <w:rPr>
                <w:rFonts w:ascii="仿宋_GB2312" w:hAnsi="Calibri" w:cs="Times New Roman"/>
                <w:sz w:val="28"/>
                <w:szCs w:val="28"/>
              </w:rPr>
            </w:pPr>
            <w:r>
              <w:rPr>
                <w:rFonts w:hint="eastAsia" w:ascii="仿宋_GB2312" w:hAnsi="Calibri" w:cs="Times New Roman"/>
                <w:sz w:val="28"/>
                <w:szCs w:val="28"/>
              </w:rPr>
              <w:t>1.98</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PrEx>
        <w:tc>
          <w:tcPr>
            <w:tcW w:w="877" w:type="pct"/>
            <w:tcBorders>
              <w:top w:val="single" w:color="7E7E7E" w:themeColor="text1" w:themeTint="80" w:sz="4" w:space="0"/>
              <w:bottom w:val="single" w:color="7E7E7E" w:themeColor="text1" w:themeTint="80" w:sz="4" w:space="0"/>
            </w:tcBorders>
          </w:tcPr>
          <w:p>
            <w:pPr>
              <w:adjustRightInd w:val="0"/>
              <w:snapToGrid w:val="0"/>
              <w:spacing w:line="240" w:lineRule="auto"/>
              <w:ind w:firstLine="0" w:firstLineChars="0"/>
              <w:rPr>
                <w:rFonts w:ascii="仿宋_GB2312" w:hAnsi="Calibri" w:cs="Times New Roman"/>
                <w:b/>
                <w:bCs/>
                <w:sz w:val="28"/>
                <w:szCs w:val="28"/>
              </w:rPr>
            </w:pPr>
            <w:r>
              <w:rPr>
                <w:rFonts w:hint="eastAsia" w:ascii="仿宋_GB2312" w:hAnsi="Calibri" w:cs="Times New Roman"/>
                <w:b/>
                <w:bCs/>
                <w:sz w:val="28"/>
                <w:szCs w:val="28"/>
              </w:rPr>
              <w:t>五年年均复合增速</w:t>
            </w:r>
          </w:p>
        </w:tc>
        <w:tc>
          <w:tcPr>
            <w:tcW w:w="1145" w:type="pct"/>
            <w:tcBorders>
              <w:top w:val="single" w:color="7E7E7E" w:themeColor="text1" w:themeTint="80" w:sz="4" w:space="0"/>
              <w:bottom w:val="single" w:color="7E7E7E" w:themeColor="text1" w:themeTint="80" w:sz="4" w:space="0"/>
            </w:tcBorders>
          </w:tcPr>
          <w:p>
            <w:pPr>
              <w:spacing w:line="240" w:lineRule="auto"/>
              <w:ind w:firstLine="0" w:firstLineChars="0"/>
              <w:jc w:val="center"/>
              <w:rPr>
                <w:rFonts w:ascii="仿宋_GB2312" w:hAnsi="Calibri" w:cs="Times New Roman"/>
                <w:sz w:val="28"/>
                <w:szCs w:val="28"/>
              </w:rPr>
            </w:pPr>
            <w:r>
              <w:rPr>
                <w:rFonts w:hint="eastAsia" w:ascii="仿宋_GB2312" w:hAnsi="Calibri" w:cs="Times New Roman"/>
                <w:sz w:val="28"/>
                <w:szCs w:val="28"/>
              </w:rPr>
              <w:t>9.63%</w:t>
            </w:r>
          </w:p>
        </w:tc>
        <w:tc>
          <w:tcPr>
            <w:tcW w:w="1009" w:type="pct"/>
            <w:tcBorders>
              <w:top w:val="single" w:color="7E7E7E" w:themeColor="text1" w:themeTint="80" w:sz="4" w:space="0"/>
              <w:bottom w:val="single" w:color="7E7E7E" w:themeColor="text1" w:themeTint="80" w:sz="4" w:space="0"/>
            </w:tcBorders>
          </w:tcPr>
          <w:p>
            <w:pPr>
              <w:spacing w:line="240" w:lineRule="auto"/>
              <w:ind w:firstLine="0" w:firstLineChars="0"/>
              <w:jc w:val="center"/>
              <w:rPr>
                <w:rFonts w:ascii="仿宋_GB2312" w:hAnsi="Calibri" w:cs="Times New Roman"/>
                <w:sz w:val="28"/>
                <w:szCs w:val="28"/>
              </w:rPr>
            </w:pPr>
            <w:r>
              <w:rPr>
                <w:rFonts w:hint="eastAsia" w:ascii="仿宋_GB2312" w:hAnsi="Calibri" w:cs="Times New Roman"/>
                <w:sz w:val="28"/>
                <w:szCs w:val="28"/>
              </w:rPr>
              <w:t>6.27%</w:t>
            </w:r>
          </w:p>
        </w:tc>
        <w:tc>
          <w:tcPr>
            <w:tcW w:w="1009" w:type="pct"/>
            <w:tcBorders>
              <w:top w:val="single" w:color="7E7E7E" w:themeColor="text1" w:themeTint="80" w:sz="4" w:space="0"/>
              <w:bottom w:val="single" w:color="7E7E7E" w:themeColor="text1" w:themeTint="80" w:sz="4" w:space="0"/>
            </w:tcBorders>
          </w:tcPr>
          <w:p>
            <w:pPr>
              <w:spacing w:line="240" w:lineRule="auto"/>
              <w:ind w:firstLine="0" w:firstLineChars="0"/>
              <w:jc w:val="center"/>
              <w:rPr>
                <w:rFonts w:ascii="仿宋_GB2312" w:hAnsi="Calibri" w:cs="Times New Roman"/>
                <w:sz w:val="28"/>
                <w:szCs w:val="28"/>
              </w:rPr>
            </w:pPr>
            <w:r>
              <w:rPr>
                <w:rFonts w:hint="eastAsia" w:ascii="仿宋_GB2312" w:hAnsi="Calibri" w:cs="Times New Roman"/>
                <w:sz w:val="28"/>
                <w:szCs w:val="28"/>
              </w:rPr>
              <w:t>12.46%</w:t>
            </w:r>
          </w:p>
        </w:tc>
        <w:tc>
          <w:tcPr>
            <w:tcW w:w="958" w:type="pct"/>
            <w:tcBorders>
              <w:top w:val="single" w:color="7E7E7E" w:themeColor="text1" w:themeTint="80" w:sz="4" w:space="0"/>
              <w:bottom w:val="single" w:color="7E7E7E" w:themeColor="text1" w:themeTint="80" w:sz="4" w:space="0"/>
            </w:tcBorders>
          </w:tcPr>
          <w:p>
            <w:pPr>
              <w:spacing w:line="240" w:lineRule="auto"/>
              <w:ind w:firstLine="0" w:firstLineChars="0"/>
              <w:jc w:val="center"/>
              <w:rPr>
                <w:rFonts w:ascii="仿宋_GB2312" w:hAnsi="Calibri" w:cs="Times New Roman"/>
                <w:sz w:val="28"/>
                <w:szCs w:val="28"/>
              </w:rPr>
            </w:pPr>
            <w:r>
              <w:rPr>
                <w:rFonts w:hint="eastAsia" w:ascii="仿宋_GB2312" w:hAnsi="Calibri" w:cs="Times New Roman"/>
                <w:sz w:val="28"/>
                <w:szCs w:val="28"/>
              </w:rPr>
              <w:t>-100.00%</w:t>
            </w:r>
          </w:p>
        </w:tc>
      </w:tr>
    </w:tbl>
    <w:p>
      <w:pPr>
        <w:spacing w:before="156" w:beforeLines="50" w:after="156" w:afterLines="50"/>
        <w:ind w:firstLine="0" w:firstLineChars="0"/>
        <w:jc w:val="center"/>
        <w:rPr>
          <w:rFonts w:ascii="仿宋_GB2312"/>
          <w:b/>
          <w:bCs/>
        </w:rPr>
      </w:pPr>
      <w:r>
        <w:rPr>
          <w:rFonts w:hint="eastAsia" w:ascii="仿宋_GB2312"/>
          <w:b/>
          <w:bCs/>
        </w:rPr>
        <w:t>表</w:t>
      </w:r>
      <w:r>
        <w:rPr>
          <w:rFonts w:ascii="仿宋_GB2312"/>
          <w:b/>
          <w:bCs/>
        </w:rPr>
        <w:t>2</w:t>
      </w:r>
      <w:r>
        <w:rPr>
          <w:rFonts w:hint="eastAsia" w:ascii="仿宋_GB2312"/>
          <w:b/>
          <w:bCs/>
        </w:rPr>
        <w:t>生猪存栏量、出栏量和肉类产量</w:t>
      </w:r>
    </w:p>
    <w:tbl>
      <w:tblPr>
        <w:tblStyle w:val="26"/>
        <w:tblW w:w="8306"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316"/>
        <w:gridCol w:w="1996"/>
        <w:gridCol w:w="1997"/>
        <w:gridCol w:w="1997"/>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316" w:type="dxa"/>
            <w:noWrap/>
          </w:tcPr>
          <w:p>
            <w:pPr>
              <w:pStyle w:val="49"/>
              <w:jc w:val="center"/>
              <w:rPr>
                <w:b/>
                <w:bCs/>
              </w:rPr>
            </w:pPr>
            <w:r>
              <w:rPr>
                <w:rFonts w:hint="eastAsia"/>
                <w:b/>
                <w:bCs/>
              </w:rPr>
              <w:t>年未</w:t>
            </w:r>
          </w:p>
        </w:tc>
        <w:tc>
          <w:tcPr>
            <w:tcW w:w="1996" w:type="dxa"/>
          </w:tcPr>
          <w:p>
            <w:pPr>
              <w:pStyle w:val="49"/>
              <w:jc w:val="center"/>
              <w:rPr>
                <w:b/>
                <w:bCs/>
              </w:rPr>
            </w:pPr>
            <w:r>
              <w:rPr>
                <w:rFonts w:hint="eastAsia"/>
                <w:b/>
                <w:bCs/>
              </w:rPr>
              <w:t>猪存栏量</w:t>
            </w:r>
          </w:p>
          <w:p>
            <w:pPr>
              <w:pStyle w:val="49"/>
              <w:jc w:val="center"/>
              <w:rPr>
                <w:b/>
                <w:bCs/>
              </w:rPr>
            </w:pPr>
            <w:r>
              <w:rPr>
                <w:rFonts w:hint="eastAsia"/>
                <w:b/>
                <w:bCs/>
              </w:rPr>
              <w:t>（头）</w:t>
            </w:r>
          </w:p>
        </w:tc>
        <w:tc>
          <w:tcPr>
            <w:tcW w:w="1997" w:type="dxa"/>
          </w:tcPr>
          <w:p>
            <w:pPr>
              <w:pStyle w:val="49"/>
              <w:jc w:val="center"/>
              <w:rPr>
                <w:b/>
                <w:bCs/>
              </w:rPr>
            </w:pPr>
            <w:r>
              <w:rPr>
                <w:rFonts w:hint="eastAsia"/>
                <w:b/>
                <w:bCs/>
              </w:rPr>
              <w:t>猪出栏量</w:t>
            </w:r>
          </w:p>
          <w:p>
            <w:pPr>
              <w:pStyle w:val="49"/>
              <w:jc w:val="center"/>
              <w:rPr>
                <w:b/>
                <w:bCs/>
              </w:rPr>
            </w:pPr>
            <w:r>
              <w:rPr>
                <w:rFonts w:hint="eastAsia"/>
                <w:b/>
                <w:bCs/>
              </w:rPr>
              <w:t>（头）</w:t>
            </w:r>
          </w:p>
        </w:tc>
        <w:tc>
          <w:tcPr>
            <w:tcW w:w="1997" w:type="dxa"/>
          </w:tcPr>
          <w:p>
            <w:pPr>
              <w:pStyle w:val="49"/>
              <w:jc w:val="center"/>
              <w:rPr>
                <w:b/>
                <w:bCs/>
              </w:rPr>
            </w:pPr>
            <w:r>
              <w:rPr>
                <w:rFonts w:hint="eastAsia"/>
                <w:b/>
                <w:bCs/>
              </w:rPr>
              <w:t>猪肉类产量</w:t>
            </w:r>
          </w:p>
          <w:p>
            <w:pPr>
              <w:pStyle w:val="49"/>
              <w:jc w:val="center"/>
              <w:rPr>
                <w:b/>
                <w:bCs/>
              </w:rPr>
            </w:pPr>
            <w:r>
              <w:rPr>
                <w:rFonts w:hint="eastAsia"/>
                <w:b/>
                <w:bCs/>
              </w:rPr>
              <w:t>（吨）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316" w:type="dxa"/>
            <w:noWrap/>
          </w:tcPr>
          <w:p>
            <w:pPr>
              <w:pStyle w:val="49"/>
              <w:rPr>
                <w:rFonts w:ascii="仿宋_GB2312"/>
                <w:b/>
              </w:rPr>
            </w:pPr>
            <w:r>
              <w:rPr>
                <w:rFonts w:ascii="仿宋_GB2312"/>
                <w:b/>
              </w:rPr>
              <w:t>2020</w:t>
            </w:r>
          </w:p>
        </w:tc>
        <w:tc>
          <w:tcPr>
            <w:tcW w:w="1996" w:type="dxa"/>
            <w:noWrap/>
          </w:tcPr>
          <w:p>
            <w:pPr>
              <w:pStyle w:val="49"/>
              <w:rPr>
                <w:rFonts w:ascii="仿宋_GB2312"/>
              </w:rPr>
            </w:pPr>
            <w:r>
              <w:rPr>
                <w:rFonts w:hint="eastAsia" w:ascii="仿宋_GB2312"/>
              </w:rPr>
              <w:t>80646</w:t>
            </w:r>
          </w:p>
        </w:tc>
        <w:tc>
          <w:tcPr>
            <w:tcW w:w="1997" w:type="dxa"/>
            <w:tcBorders>
              <w:top w:val="single" w:color="7E7E7E" w:themeColor="text1" w:themeTint="80" w:sz="4" w:space="0"/>
              <w:left w:val="nil"/>
              <w:right w:val="single" w:color="7E7E7E" w:themeColor="text1" w:themeTint="80" w:sz="4" w:space="0"/>
            </w:tcBorders>
            <w:noWrap/>
          </w:tcPr>
          <w:p>
            <w:pPr>
              <w:pStyle w:val="49"/>
              <w:rPr>
                <w:rFonts w:ascii="仿宋_GB2312"/>
              </w:rPr>
            </w:pPr>
            <w:r>
              <w:rPr>
                <w:rFonts w:hint="eastAsia" w:ascii="仿宋_GB2312"/>
              </w:rPr>
              <w:t>132126</w:t>
            </w:r>
          </w:p>
        </w:tc>
        <w:tc>
          <w:tcPr>
            <w:tcW w:w="1997" w:type="dxa"/>
            <w:tcBorders>
              <w:top w:val="single" w:color="7E7E7E" w:themeColor="text1" w:themeTint="80" w:sz="4" w:space="0"/>
              <w:left w:val="single" w:color="7E7E7E" w:themeColor="text1" w:themeTint="80" w:sz="4" w:space="0"/>
              <w:right w:val="nil"/>
            </w:tcBorders>
            <w:noWrap/>
          </w:tcPr>
          <w:p>
            <w:pPr>
              <w:pStyle w:val="49"/>
              <w:rPr>
                <w:rFonts w:ascii="仿宋_GB2312"/>
              </w:rPr>
            </w:pPr>
            <w:r>
              <w:rPr>
                <w:rFonts w:hint="eastAsia" w:ascii="仿宋_GB2312"/>
              </w:rPr>
              <w:t>9883.00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316" w:type="dxa"/>
            <w:noWrap/>
          </w:tcPr>
          <w:p>
            <w:pPr>
              <w:pStyle w:val="49"/>
              <w:rPr>
                <w:rFonts w:ascii="仿宋_GB2312"/>
                <w:b/>
              </w:rPr>
            </w:pPr>
            <w:r>
              <w:rPr>
                <w:rFonts w:ascii="仿宋_GB2312"/>
                <w:b/>
              </w:rPr>
              <w:t>2021</w:t>
            </w:r>
          </w:p>
        </w:tc>
        <w:tc>
          <w:tcPr>
            <w:tcW w:w="1996" w:type="dxa"/>
            <w:noWrap/>
          </w:tcPr>
          <w:p>
            <w:pPr>
              <w:pStyle w:val="49"/>
              <w:rPr>
                <w:rFonts w:ascii="仿宋_GB2312"/>
              </w:rPr>
            </w:pPr>
            <w:r>
              <w:rPr>
                <w:rFonts w:hint="eastAsia" w:ascii="仿宋_GB2312"/>
              </w:rPr>
              <w:t>87498</w:t>
            </w:r>
          </w:p>
        </w:tc>
        <w:tc>
          <w:tcPr>
            <w:tcW w:w="1997" w:type="dxa"/>
            <w:tcBorders>
              <w:left w:val="nil"/>
              <w:right w:val="single" w:color="7E7E7E" w:themeColor="text1" w:themeTint="80" w:sz="4" w:space="0"/>
            </w:tcBorders>
            <w:noWrap/>
          </w:tcPr>
          <w:p>
            <w:pPr>
              <w:pStyle w:val="49"/>
              <w:rPr>
                <w:rFonts w:ascii="仿宋_GB2312"/>
              </w:rPr>
            </w:pPr>
            <w:r>
              <w:rPr>
                <w:rFonts w:hint="eastAsia" w:ascii="仿宋_GB2312"/>
              </w:rPr>
              <w:t>153385</w:t>
            </w:r>
          </w:p>
        </w:tc>
        <w:tc>
          <w:tcPr>
            <w:tcW w:w="1997" w:type="dxa"/>
            <w:tcBorders>
              <w:left w:val="single" w:color="7E7E7E" w:themeColor="text1" w:themeTint="80" w:sz="4" w:space="0"/>
              <w:right w:val="nil"/>
            </w:tcBorders>
            <w:noWrap/>
          </w:tcPr>
          <w:p>
            <w:pPr>
              <w:pStyle w:val="49"/>
              <w:rPr>
                <w:rFonts w:ascii="仿宋_GB2312"/>
              </w:rPr>
            </w:pPr>
            <w:r>
              <w:rPr>
                <w:rFonts w:hint="eastAsia" w:ascii="仿宋_GB2312"/>
              </w:rPr>
              <w:t>11643.03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316" w:type="dxa"/>
            <w:noWrap/>
          </w:tcPr>
          <w:p>
            <w:pPr>
              <w:pStyle w:val="49"/>
              <w:rPr>
                <w:rFonts w:ascii="仿宋_GB2312"/>
                <w:b/>
              </w:rPr>
            </w:pPr>
            <w:r>
              <w:rPr>
                <w:rFonts w:ascii="仿宋_GB2312"/>
                <w:b/>
              </w:rPr>
              <w:t>2022</w:t>
            </w:r>
          </w:p>
        </w:tc>
        <w:tc>
          <w:tcPr>
            <w:tcW w:w="1996" w:type="dxa"/>
            <w:noWrap/>
          </w:tcPr>
          <w:p>
            <w:pPr>
              <w:pStyle w:val="49"/>
              <w:rPr>
                <w:rFonts w:ascii="仿宋_GB2312"/>
              </w:rPr>
            </w:pPr>
            <w:r>
              <w:rPr>
                <w:rFonts w:hint="eastAsia" w:ascii="仿宋_GB2312"/>
              </w:rPr>
              <w:t>82065</w:t>
            </w:r>
          </w:p>
        </w:tc>
        <w:tc>
          <w:tcPr>
            <w:tcW w:w="1997" w:type="dxa"/>
            <w:tcBorders>
              <w:top w:val="single" w:color="7E7E7E" w:themeColor="text1" w:themeTint="80" w:sz="4" w:space="0"/>
              <w:left w:val="nil"/>
              <w:bottom w:val="single" w:color="7E7E7E" w:themeColor="text1" w:themeTint="80" w:sz="4" w:space="0"/>
              <w:right w:val="single" w:color="7E7E7E" w:themeColor="text1" w:themeTint="80" w:sz="4" w:space="0"/>
            </w:tcBorders>
            <w:noWrap/>
          </w:tcPr>
          <w:p>
            <w:pPr>
              <w:pStyle w:val="49"/>
              <w:rPr>
                <w:rFonts w:ascii="仿宋_GB2312"/>
              </w:rPr>
            </w:pPr>
            <w:r>
              <w:rPr>
                <w:rFonts w:hint="eastAsia" w:ascii="仿宋_GB2312"/>
              </w:rPr>
              <w:t>166991</w:t>
            </w:r>
          </w:p>
        </w:tc>
        <w:tc>
          <w:tcPr>
            <w:tcW w:w="1997" w:type="dxa"/>
            <w:tcBorders>
              <w:top w:val="single" w:color="7E7E7E" w:themeColor="text1" w:themeTint="80" w:sz="4" w:space="0"/>
              <w:left w:val="single" w:color="7E7E7E" w:themeColor="text1" w:themeTint="80" w:sz="4" w:space="0"/>
              <w:bottom w:val="single" w:color="7E7E7E" w:themeColor="text1" w:themeTint="80" w:sz="4" w:space="0"/>
              <w:right w:val="nil"/>
            </w:tcBorders>
            <w:noWrap/>
          </w:tcPr>
          <w:p>
            <w:pPr>
              <w:pStyle w:val="49"/>
              <w:rPr>
                <w:rFonts w:ascii="仿宋_GB2312"/>
              </w:rPr>
            </w:pPr>
            <w:r>
              <w:rPr>
                <w:rFonts w:hint="eastAsia" w:ascii="仿宋_GB2312"/>
              </w:rPr>
              <w:t>11995.76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316" w:type="dxa"/>
            <w:noWrap/>
          </w:tcPr>
          <w:p>
            <w:pPr>
              <w:pStyle w:val="49"/>
              <w:rPr>
                <w:rFonts w:ascii="仿宋_GB2312"/>
                <w:b/>
              </w:rPr>
            </w:pPr>
            <w:r>
              <w:rPr>
                <w:rFonts w:ascii="仿宋_GB2312"/>
                <w:b/>
              </w:rPr>
              <w:t>2023</w:t>
            </w:r>
          </w:p>
        </w:tc>
        <w:tc>
          <w:tcPr>
            <w:tcW w:w="1996" w:type="dxa"/>
            <w:noWrap/>
          </w:tcPr>
          <w:p>
            <w:pPr>
              <w:pStyle w:val="49"/>
              <w:rPr>
                <w:rFonts w:ascii="仿宋_GB2312"/>
              </w:rPr>
            </w:pPr>
            <w:r>
              <w:rPr>
                <w:rFonts w:hint="eastAsia" w:ascii="仿宋_GB2312"/>
              </w:rPr>
              <w:t>81452</w:t>
            </w:r>
          </w:p>
        </w:tc>
        <w:tc>
          <w:tcPr>
            <w:tcW w:w="1997" w:type="dxa"/>
            <w:tcBorders>
              <w:left w:val="nil"/>
              <w:right w:val="single" w:color="7E7E7E" w:themeColor="text1" w:themeTint="80" w:sz="4" w:space="0"/>
            </w:tcBorders>
            <w:noWrap/>
          </w:tcPr>
          <w:p>
            <w:pPr>
              <w:pStyle w:val="49"/>
              <w:rPr>
                <w:rFonts w:ascii="仿宋_GB2312"/>
              </w:rPr>
            </w:pPr>
            <w:r>
              <w:rPr>
                <w:rFonts w:hint="eastAsia" w:ascii="仿宋_GB2312"/>
              </w:rPr>
              <w:t>170498</w:t>
            </w:r>
          </w:p>
        </w:tc>
        <w:tc>
          <w:tcPr>
            <w:tcW w:w="1997" w:type="dxa"/>
            <w:tcBorders>
              <w:left w:val="single" w:color="7E7E7E" w:themeColor="text1" w:themeTint="80" w:sz="4" w:space="0"/>
              <w:right w:val="nil"/>
            </w:tcBorders>
            <w:noWrap/>
          </w:tcPr>
          <w:p>
            <w:pPr>
              <w:pStyle w:val="49"/>
              <w:rPr>
                <w:rFonts w:ascii="仿宋_GB2312"/>
              </w:rPr>
            </w:pPr>
            <w:r>
              <w:rPr>
                <w:rFonts w:hint="eastAsia" w:ascii="仿宋_GB2312"/>
              </w:rPr>
              <w:t>13646.55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316" w:type="dxa"/>
            <w:noWrap/>
          </w:tcPr>
          <w:p>
            <w:pPr>
              <w:pStyle w:val="49"/>
              <w:rPr>
                <w:rFonts w:ascii="仿宋_GB2312"/>
                <w:b/>
              </w:rPr>
            </w:pPr>
            <w:r>
              <w:rPr>
                <w:rFonts w:ascii="仿宋_GB2312"/>
                <w:b/>
              </w:rPr>
              <w:t>2024</w:t>
            </w:r>
          </w:p>
        </w:tc>
        <w:tc>
          <w:tcPr>
            <w:tcW w:w="1996" w:type="dxa"/>
            <w:noWrap/>
          </w:tcPr>
          <w:p>
            <w:pPr>
              <w:pStyle w:val="49"/>
              <w:rPr>
                <w:rFonts w:ascii="仿宋_GB2312"/>
              </w:rPr>
            </w:pPr>
            <w:r>
              <w:rPr>
                <w:rFonts w:hint="eastAsia" w:ascii="仿宋_GB2312"/>
              </w:rPr>
              <w:t>80354</w:t>
            </w:r>
          </w:p>
        </w:tc>
        <w:tc>
          <w:tcPr>
            <w:tcW w:w="1997" w:type="dxa"/>
            <w:tcBorders>
              <w:top w:val="single" w:color="7E7E7E" w:themeColor="text1" w:themeTint="80" w:sz="4" w:space="0"/>
              <w:left w:val="nil"/>
              <w:bottom w:val="single" w:color="7E7E7E" w:themeColor="text1" w:themeTint="80" w:sz="4" w:space="0"/>
              <w:right w:val="single" w:color="7E7E7E" w:themeColor="text1" w:themeTint="80" w:sz="4" w:space="0"/>
            </w:tcBorders>
            <w:noWrap/>
          </w:tcPr>
          <w:p>
            <w:pPr>
              <w:pStyle w:val="49"/>
              <w:rPr>
                <w:rFonts w:ascii="仿宋_GB2312"/>
              </w:rPr>
            </w:pPr>
            <w:r>
              <w:rPr>
                <w:rFonts w:hint="eastAsia" w:ascii="仿宋_GB2312"/>
              </w:rPr>
              <w:t>174727</w:t>
            </w:r>
          </w:p>
        </w:tc>
        <w:tc>
          <w:tcPr>
            <w:tcW w:w="1997" w:type="dxa"/>
            <w:tcBorders>
              <w:top w:val="single" w:color="7E7E7E" w:themeColor="text1" w:themeTint="80" w:sz="4" w:space="0"/>
              <w:left w:val="single" w:color="7E7E7E" w:themeColor="text1" w:themeTint="80" w:sz="4" w:space="0"/>
              <w:bottom w:val="single" w:color="7E7E7E" w:themeColor="text1" w:themeTint="80" w:sz="4" w:space="0"/>
              <w:right w:val="nil"/>
            </w:tcBorders>
            <w:noWrap/>
          </w:tcPr>
          <w:p>
            <w:pPr>
              <w:pStyle w:val="49"/>
              <w:rPr>
                <w:rFonts w:ascii="仿宋_GB2312"/>
              </w:rPr>
            </w:pPr>
            <w:r>
              <w:rPr>
                <w:rFonts w:hint="eastAsia" w:ascii="仿宋_GB2312"/>
              </w:rPr>
              <w:t>14358.00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316" w:type="dxa"/>
            <w:noWrap/>
          </w:tcPr>
          <w:p>
            <w:pPr>
              <w:pStyle w:val="49"/>
              <w:rPr>
                <w:rFonts w:ascii="仿宋_GB2312"/>
                <w:b/>
              </w:rPr>
            </w:pPr>
            <w:r>
              <w:rPr>
                <w:rFonts w:ascii="仿宋_GB2312"/>
                <w:b/>
              </w:rPr>
              <w:t>2025</w:t>
            </w:r>
          </w:p>
        </w:tc>
        <w:tc>
          <w:tcPr>
            <w:tcW w:w="1996" w:type="dxa"/>
            <w:noWrap/>
          </w:tcPr>
          <w:p>
            <w:pPr>
              <w:pStyle w:val="49"/>
              <w:rPr>
                <w:rFonts w:ascii="仿宋_GB2312"/>
              </w:rPr>
            </w:pPr>
            <w:r>
              <w:rPr>
                <w:rFonts w:hint="eastAsia" w:ascii="仿宋_GB2312"/>
              </w:rPr>
              <w:t>79232</w:t>
            </w:r>
          </w:p>
        </w:tc>
        <w:tc>
          <w:tcPr>
            <w:tcW w:w="1997" w:type="dxa"/>
            <w:tcBorders>
              <w:left w:val="nil"/>
              <w:right w:val="single" w:color="7E7E7E" w:themeColor="text1" w:themeTint="80" w:sz="4" w:space="0"/>
            </w:tcBorders>
            <w:noWrap/>
          </w:tcPr>
          <w:p>
            <w:pPr>
              <w:pStyle w:val="49"/>
              <w:rPr>
                <w:rFonts w:ascii="仿宋_GB2312"/>
              </w:rPr>
            </w:pPr>
            <w:r>
              <w:rPr>
                <w:rFonts w:hint="eastAsia" w:ascii="仿宋_GB2312"/>
              </w:rPr>
              <w:t>189370</w:t>
            </w:r>
          </w:p>
        </w:tc>
        <w:tc>
          <w:tcPr>
            <w:tcW w:w="1997" w:type="dxa"/>
            <w:tcBorders>
              <w:left w:val="single" w:color="7E7E7E" w:themeColor="text1" w:themeTint="80" w:sz="4" w:space="0"/>
              <w:right w:val="nil"/>
            </w:tcBorders>
            <w:noWrap/>
          </w:tcPr>
          <w:p>
            <w:pPr>
              <w:pStyle w:val="49"/>
              <w:rPr>
                <w:rFonts w:ascii="仿宋_GB2312"/>
              </w:rPr>
            </w:pPr>
            <w:r>
              <w:rPr>
                <w:rFonts w:hint="eastAsia" w:ascii="仿宋_GB2312"/>
              </w:rPr>
              <w:t>15192.34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316" w:type="dxa"/>
            <w:noWrap/>
          </w:tcPr>
          <w:p>
            <w:pPr>
              <w:pStyle w:val="49"/>
              <w:rPr>
                <w:rFonts w:ascii="仿宋_GB2312"/>
                <w:b/>
              </w:rPr>
            </w:pPr>
            <w:r>
              <w:rPr>
                <w:rFonts w:hint="eastAsia" w:ascii="仿宋_GB2312"/>
                <w:b/>
              </w:rPr>
              <w:t>年均增长率</w:t>
            </w:r>
          </w:p>
        </w:tc>
        <w:tc>
          <w:tcPr>
            <w:tcW w:w="1996" w:type="dxa"/>
            <w:noWrap/>
          </w:tcPr>
          <w:p>
            <w:pPr>
              <w:pStyle w:val="49"/>
              <w:rPr>
                <w:rFonts w:ascii="仿宋_GB2312"/>
              </w:rPr>
            </w:pPr>
            <w:r>
              <w:rPr>
                <w:rFonts w:hint="eastAsia" w:ascii="仿宋_GB2312"/>
              </w:rPr>
              <w:t>-0.35%</w:t>
            </w:r>
          </w:p>
        </w:tc>
        <w:tc>
          <w:tcPr>
            <w:tcW w:w="1997" w:type="dxa"/>
            <w:tcBorders>
              <w:top w:val="single" w:color="7E7E7E" w:themeColor="text1" w:themeTint="80" w:sz="4" w:space="0"/>
              <w:left w:val="nil"/>
              <w:bottom w:val="single" w:color="7E7E7E" w:themeColor="text1" w:themeTint="80" w:sz="4" w:space="0"/>
              <w:right w:val="single" w:color="7E7E7E" w:themeColor="text1" w:themeTint="80" w:sz="4" w:space="0"/>
            </w:tcBorders>
            <w:noWrap/>
          </w:tcPr>
          <w:p>
            <w:pPr>
              <w:pStyle w:val="49"/>
              <w:rPr>
                <w:rFonts w:ascii="仿宋_GB2312"/>
              </w:rPr>
            </w:pPr>
            <w:r>
              <w:rPr>
                <w:rFonts w:hint="eastAsia" w:ascii="仿宋_GB2312"/>
              </w:rPr>
              <w:t>7.46%</w:t>
            </w:r>
          </w:p>
        </w:tc>
        <w:tc>
          <w:tcPr>
            <w:tcW w:w="1997" w:type="dxa"/>
            <w:tcBorders>
              <w:top w:val="single" w:color="7E7E7E" w:themeColor="text1" w:themeTint="80" w:sz="4" w:space="0"/>
              <w:left w:val="single" w:color="7E7E7E" w:themeColor="text1" w:themeTint="80" w:sz="4" w:space="0"/>
              <w:bottom w:val="single" w:color="7E7E7E" w:themeColor="text1" w:themeTint="80" w:sz="4" w:space="0"/>
              <w:right w:val="nil"/>
            </w:tcBorders>
            <w:noWrap/>
          </w:tcPr>
          <w:p>
            <w:pPr>
              <w:pStyle w:val="49"/>
              <w:rPr>
                <w:rFonts w:ascii="仿宋_GB2312"/>
              </w:rPr>
            </w:pPr>
            <w:r>
              <w:rPr>
                <w:rFonts w:hint="eastAsia" w:ascii="仿宋_GB2312"/>
              </w:rPr>
              <w:t>8.98%</w:t>
            </w:r>
          </w:p>
        </w:tc>
      </w:tr>
    </w:tbl>
    <w:p>
      <w:pPr>
        <w:pStyle w:val="49"/>
        <w:tabs>
          <w:tab w:val="left" w:pos="1917"/>
          <w:tab w:val="left" w:pos="4081"/>
          <w:tab w:val="left" w:pos="6245"/>
        </w:tabs>
        <w:ind w:left="113" w:firstLine="600"/>
        <w:jc w:val="left"/>
      </w:pPr>
      <w:r>
        <w:rPr>
          <w:rFonts w:hint="eastAsia"/>
        </w:rPr>
        <w:tab/>
      </w:r>
      <w:r>
        <w:tab/>
      </w:r>
      <w:r>
        <w:tab/>
      </w:r>
    </w:p>
    <w:p>
      <w:pPr>
        <w:ind w:firstLine="602"/>
        <w:jc w:val="center"/>
        <w:rPr>
          <w:rFonts w:ascii="仿宋_GB2312"/>
        </w:rPr>
      </w:pPr>
      <w:r>
        <w:rPr>
          <w:rFonts w:hint="eastAsia" w:ascii="仿宋_GB2312"/>
          <w:b/>
          <w:bCs/>
        </w:rPr>
        <w:t>表</w:t>
      </w:r>
      <w:r>
        <w:rPr>
          <w:rFonts w:ascii="仿宋_GB2312"/>
          <w:b/>
          <w:bCs/>
        </w:rPr>
        <w:t>3</w:t>
      </w:r>
      <w:r>
        <w:rPr>
          <w:rFonts w:hint="eastAsia" w:ascii="仿宋_GB2312"/>
          <w:b/>
          <w:bCs/>
        </w:rPr>
        <w:t>家禽存栏量、出栏量和肉类产量</w:t>
      </w:r>
    </w:p>
    <w:tbl>
      <w:tblPr>
        <w:tblStyle w:val="26"/>
        <w:tblW w:w="8306"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08"/>
        <w:gridCol w:w="2166"/>
        <w:gridCol w:w="2166"/>
        <w:gridCol w:w="216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808" w:type="dxa"/>
            <w:noWrap/>
          </w:tcPr>
          <w:p>
            <w:pPr>
              <w:pStyle w:val="49"/>
              <w:rPr>
                <w:b/>
              </w:rPr>
            </w:pPr>
            <w:r>
              <w:rPr>
                <w:rFonts w:hint="eastAsia"/>
                <w:b/>
              </w:rPr>
              <w:t>年未</w:t>
            </w:r>
          </w:p>
        </w:tc>
        <w:tc>
          <w:tcPr>
            <w:tcW w:w="2166" w:type="dxa"/>
          </w:tcPr>
          <w:p>
            <w:pPr>
              <w:pStyle w:val="49"/>
              <w:jc w:val="center"/>
              <w:rPr>
                <w:b/>
                <w:bCs/>
              </w:rPr>
            </w:pPr>
            <w:r>
              <w:rPr>
                <w:rFonts w:hint="eastAsia"/>
                <w:b/>
                <w:bCs/>
              </w:rPr>
              <w:t>家禽总存栏量</w:t>
            </w:r>
          </w:p>
          <w:p>
            <w:pPr>
              <w:pStyle w:val="49"/>
              <w:jc w:val="center"/>
              <w:rPr>
                <w:b/>
                <w:bCs/>
              </w:rPr>
            </w:pPr>
            <w:r>
              <w:rPr>
                <w:rFonts w:hint="eastAsia"/>
                <w:b/>
                <w:bCs/>
              </w:rPr>
              <w:t>（只）</w:t>
            </w:r>
          </w:p>
        </w:tc>
        <w:tc>
          <w:tcPr>
            <w:tcW w:w="2166" w:type="dxa"/>
          </w:tcPr>
          <w:p>
            <w:pPr>
              <w:pStyle w:val="49"/>
              <w:jc w:val="center"/>
              <w:rPr>
                <w:b/>
                <w:bCs/>
              </w:rPr>
            </w:pPr>
            <w:r>
              <w:rPr>
                <w:rFonts w:hint="eastAsia"/>
                <w:b/>
                <w:bCs/>
              </w:rPr>
              <w:t>家禽总出栏量</w:t>
            </w:r>
          </w:p>
          <w:p>
            <w:pPr>
              <w:pStyle w:val="49"/>
              <w:jc w:val="center"/>
              <w:rPr>
                <w:b/>
                <w:bCs/>
              </w:rPr>
            </w:pPr>
            <w:r>
              <w:rPr>
                <w:rFonts w:hint="eastAsia"/>
                <w:b/>
                <w:bCs/>
              </w:rPr>
              <w:t>（只）</w:t>
            </w:r>
          </w:p>
        </w:tc>
        <w:tc>
          <w:tcPr>
            <w:tcW w:w="2166" w:type="dxa"/>
          </w:tcPr>
          <w:p>
            <w:pPr>
              <w:pStyle w:val="49"/>
              <w:jc w:val="center"/>
              <w:rPr>
                <w:b/>
                <w:bCs/>
              </w:rPr>
            </w:pPr>
            <w:r>
              <w:rPr>
                <w:rFonts w:hint="eastAsia"/>
                <w:b/>
                <w:bCs/>
              </w:rPr>
              <w:t>家禽肉类产量</w:t>
            </w:r>
          </w:p>
          <w:p>
            <w:pPr>
              <w:pStyle w:val="49"/>
              <w:jc w:val="center"/>
              <w:rPr>
                <w:b/>
                <w:bCs/>
              </w:rPr>
            </w:pPr>
            <w:r>
              <w:rPr>
                <w:rFonts w:hint="eastAsia"/>
                <w:b/>
                <w:bCs/>
              </w:rPr>
              <w:t>（吨）</w:t>
            </w:r>
          </w:p>
        </w:tc>
      </w:tr>
      <w:tr>
        <w:tblPrEx>
          <w:tblCellMar>
            <w:top w:w="0" w:type="dxa"/>
            <w:left w:w="108" w:type="dxa"/>
            <w:bottom w:w="0" w:type="dxa"/>
            <w:right w:w="108" w:type="dxa"/>
          </w:tblCellMar>
        </w:tblPrEx>
        <w:trPr>
          <w:trHeight w:val="285" w:hRule="atLeast"/>
        </w:trPr>
        <w:tc>
          <w:tcPr>
            <w:tcW w:w="1808" w:type="dxa"/>
            <w:noWrap/>
          </w:tcPr>
          <w:p>
            <w:pPr>
              <w:pStyle w:val="49"/>
              <w:rPr>
                <w:rFonts w:ascii="仿宋_GB2312"/>
                <w:b/>
              </w:rPr>
            </w:pPr>
            <w:r>
              <w:rPr>
                <w:rFonts w:ascii="仿宋_GB2312"/>
                <w:b/>
              </w:rPr>
              <w:t>2020</w:t>
            </w:r>
          </w:p>
        </w:tc>
        <w:tc>
          <w:tcPr>
            <w:tcW w:w="2166" w:type="dxa"/>
            <w:tcBorders>
              <w:top w:val="single" w:color="7E7E7E" w:themeColor="text1" w:themeTint="80" w:sz="4" w:space="0"/>
              <w:left w:val="nil"/>
              <w:right w:val="single" w:color="7E7E7E" w:themeColor="text1" w:themeTint="80" w:sz="4" w:space="0"/>
            </w:tcBorders>
            <w:noWrap/>
          </w:tcPr>
          <w:p>
            <w:pPr>
              <w:pStyle w:val="49"/>
              <w:jc w:val="center"/>
              <w:rPr>
                <w:rFonts w:ascii="仿宋_GB2312"/>
              </w:rPr>
            </w:pPr>
            <w:r>
              <w:rPr>
                <w:rFonts w:hint="eastAsia" w:ascii="仿宋_GB2312"/>
              </w:rPr>
              <w:t>2216907</w:t>
            </w:r>
          </w:p>
        </w:tc>
        <w:tc>
          <w:tcPr>
            <w:tcW w:w="2166" w:type="dxa"/>
            <w:tcBorders>
              <w:top w:val="single" w:color="7E7E7E" w:themeColor="text1" w:themeTint="80" w:sz="4" w:space="0"/>
              <w:left w:val="single" w:color="7E7E7E" w:themeColor="text1" w:themeTint="80" w:sz="4" w:space="0"/>
              <w:right w:val="single" w:color="7E7E7E" w:themeColor="text1" w:themeTint="80" w:sz="4" w:space="0"/>
            </w:tcBorders>
            <w:noWrap/>
          </w:tcPr>
          <w:p>
            <w:pPr>
              <w:pStyle w:val="49"/>
              <w:jc w:val="center"/>
              <w:rPr>
                <w:rFonts w:ascii="仿宋_GB2312"/>
              </w:rPr>
            </w:pPr>
            <w:r>
              <w:rPr>
                <w:rFonts w:hint="eastAsia" w:ascii="仿宋_GB2312"/>
              </w:rPr>
              <w:t>3350109</w:t>
            </w:r>
          </w:p>
        </w:tc>
        <w:tc>
          <w:tcPr>
            <w:tcW w:w="2166" w:type="dxa"/>
            <w:tcBorders>
              <w:top w:val="single" w:color="7E7E7E" w:themeColor="text1" w:themeTint="80" w:sz="4" w:space="0"/>
              <w:left w:val="single" w:color="7E7E7E" w:themeColor="text1" w:themeTint="80" w:sz="4" w:space="0"/>
              <w:right w:val="nil"/>
            </w:tcBorders>
            <w:noWrap/>
          </w:tcPr>
          <w:p>
            <w:pPr>
              <w:pStyle w:val="49"/>
              <w:jc w:val="center"/>
              <w:rPr>
                <w:rFonts w:ascii="仿宋_GB2312"/>
              </w:rPr>
            </w:pPr>
            <w:r>
              <w:rPr>
                <w:rFonts w:hint="eastAsia" w:ascii="仿宋_GB2312"/>
              </w:rPr>
              <w:t>4487.61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808" w:type="dxa"/>
            <w:noWrap/>
          </w:tcPr>
          <w:p>
            <w:pPr>
              <w:pStyle w:val="49"/>
              <w:rPr>
                <w:rFonts w:ascii="仿宋_GB2312"/>
                <w:b/>
              </w:rPr>
            </w:pPr>
            <w:r>
              <w:rPr>
                <w:rFonts w:ascii="仿宋_GB2312"/>
                <w:b/>
              </w:rPr>
              <w:t>2021</w:t>
            </w:r>
          </w:p>
        </w:tc>
        <w:tc>
          <w:tcPr>
            <w:tcW w:w="2166" w:type="dxa"/>
            <w:tcBorders>
              <w:left w:val="nil"/>
              <w:right w:val="single" w:color="7E7E7E" w:themeColor="text1" w:themeTint="80" w:sz="4" w:space="0"/>
            </w:tcBorders>
            <w:noWrap/>
          </w:tcPr>
          <w:p>
            <w:pPr>
              <w:pStyle w:val="49"/>
              <w:jc w:val="center"/>
              <w:rPr>
                <w:rFonts w:ascii="仿宋_GB2312"/>
              </w:rPr>
            </w:pPr>
            <w:r>
              <w:rPr>
                <w:rFonts w:hint="eastAsia" w:ascii="仿宋_GB2312"/>
              </w:rPr>
              <w:t>2034377</w:t>
            </w:r>
          </w:p>
        </w:tc>
        <w:tc>
          <w:tcPr>
            <w:tcW w:w="2166" w:type="dxa"/>
            <w:tcBorders>
              <w:left w:val="single" w:color="7E7E7E" w:themeColor="text1" w:themeTint="80" w:sz="4" w:space="0"/>
              <w:right w:val="single" w:color="7E7E7E" w:themeColor="text1" w:themeTint="80" w:sz="4" w:space="0"/>
            </w:tcBorders>
            <w:noWrap/>
          </w:tcPr>
          <w:p>
            <w:pPr>
              <w:pStyle w:val="49"/>
              <w:jc w:val="center"/>
              <w:rPr>
                <w:rFonts w:ascii="仿宋_GB2312"/>
              </w:rPr>
            </w:pPr>
            <w:r>
              <w:rPr>
                <w:rFonts w:hint="eastAsia" w:ascii="仿宋_GB2312"/>
              </w:rPr>
              <w:t>3021971</w:t>
            </w:r>
          </w:p>
        </w:tc>
        <w:tc>
          <w:tcPr>
            <w:tcW w:w="2166" w:type="dxa"/>
            <w:tcBorders>
              <w:left w:val="single" w:color="7E7E7E" w:themeColor="text1" w:themeTint="80" w:sz="4" w:space="0"/>
              <w:right w:val="nil"/>
            </w:tcBorders>
            <w:noWrap/>
          </w:tcPr>
          <w:p>
            <w:pPr>
              <w:pStyle w:val="49"/>
              <w:jc w:val="center"/>
              <w:rPr>
                <w:rFonts w:ascii="仿宋_GB2312"/>
              </w:rPr>
            </w:pPr>
            <w:r>
              <w:rPr>
                <w:rFonts w:hint="eastAsia" w:ascii="仿宋_GB2312"/>
              </w:rPr>
              <w:t>4277.80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808" w:type="dxa"/>
            <w:noWrap/>
          </w:tcPr>
          <w:p>
            <w:pPr>
              <w:pStyle w:val="49"/>
              <w:rPr>
                <w:rFonts w:ascii="仿宋_GB2312"/>
                <w:b/>
              </w:rPr>
            </w:pPr>
            <w:r>
              <w:rPr>
                <w:rFonts w:ascii="仿宋_GB2312"/>
                <w:b/>
              </w:rPr>
              <w:t>2022</w:t>
            </w:r>
          </w:p>
        </w:tc>
        <w:tc>
          <w:tcPr>
            <w:tcW w:w="2166" w:type="dxa"/>
            <w:tcBorders>
              <w:top w:val="single" w:color="7E7E7E" w:themeColor="text1" w:themeTint="80" w:sz="4" w:space="0"/>
              <w:left w:val="nil"/>
              <w:bottom w:val="single" w:color="7E7E7E" w:themeColor="text1" w:themeTint="80" w:sz="4" w:space="0"/>
              <w:right w:val="single" w:color="7E7E7E" w:themeColor="text1" w:themeTint="80" w:sz="4" w:space="0"/>
            </w:tcBorders>
            <w:noWrap/>
          </w:tcPr>
          <w:p>
            <w:pPr>
              <w:pStyle w:val="49"/>
              <w:jc w:val="center"/>
              <w:rPr>
                <w:rFonts w:ascii="仿宋_GB2312"/>
              </w:rPr>
            </w:pPr>
            <w:r>
              <w:rPr>
                <w:rFonts w:hint="eastAsia" w:ascii="仿宋_GB2312"/>
              </w:rPr>
              <w:t>2201380</w:t>
            </w:r>
          </w:p>
        </w:tc>
        <w:tc>
          <w:tcPr>
            <w:tcW w:w="2166"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tcBorders>
            <w:noWrap/>
          </w:tcPr>
          <w:p>
            <w:pPr>
              <w:pStyle w:val="49"/>
              <w:jc w:val="center"/>
              <w:rPr>
                <w:rFonts w:ascii="仿宋_GB2312"/>
              </w:rPr>
            </w:pPr>
            <w:r>
              <w:rPr>
                <w:rFonts w:hint="eastAsia" w:ascii="仿宋_GB2312"/>
              </w:rPr>
              <w:t>3243847</w:t>
            </w:r>
          </w:p>
        </w:tc>
        <w:tc>
          <w:tcPr>
            <w:tcW w:w="2166" w:type="dxa"/>
            <w:tcBorders>
              <w:top w:val="single" w:color="7E7E7E" w:themeColor="text1" w:themeTint="80" w:sz="4" w:space="0"/>
              <w:left w:val="single" w:color="7E7E7E" w:themeColor="text1" w:themeTint="80" w:sz="4" w:space="0"/>
              <w:bottom w:val="single" w:color="7E7E7E" w:themeColor="text1" w:themeTint="80" w:sz="4" w:space="0"/>
              <w:right w:val="nil"/>
            </w:tcBorders>
            <w:noWrap/>
          </w:tcPr>
          <w:p>
            <w:pPr>
              <w:pStyle w:val="49"/>
              <w:jc w:val="center"/>
              <w:rPr>
                <w:rFonts w:ascii="仿宋_GB2312"/>
              </w:rPr>
            </w:pPr>
            <w:r>
              <w:rPr>
                <w:rFonts w:hint="eastAsia" w:ascii="仿宋_GB2312"/>
              </w:rPr>
              <w:t>4710.32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808" w:type="dxa"/>
            <w:noWrap/>
          </w:tcPr>
          <w:p>
            <w:pPr>
              <w:pStyle w:val="49"/>
              <w:rPr>
                <w:rFonts w:ascii="仿宋_GB2312"/>
                <w:b/>
              </w:rPr>
            </w:pPr>
            <w:r>
              <w:rPr>
                <w:rFonts w:ascii="仿宋_GB2312"/>
                <w:b/>
              </w:rPr>
              <w:t>2023</w:t>
            </w:r>
          </w:p>
        </w:tc>
        <w:tc>
          <w:tcPr>
            <w:tcW w:w="2166" w:type="dxa"/>
            <w:tcBorders>
              <w:left w:val="nil"/>
              <w:right w:val="single" w:color="7E7E7E" w:themeColor="text1" w:themeTint="80" w:sz="4" w:space="0"/>
            </w:tcBorders>
            <w:noWrap/>
          </w:tcPr>
          <w:p>
            <w:pPr>
              <w:pStyle w:val="49"/>
              <w:jc w:val="center"/>
              <w:rPr>
                <w:rFonts w:ascii="仿宋_GB2312"/>
              </w:rPr>
            </w:pPr>
            <w:r>
              <w:rPr>
                <w:rFonts w:hint="eastAsia" w:ascii="仿宋_GB2312"/>
              </w:rPr>
              <w:t>2132457</w:t>
            </w:r>
          </w:p>
        </w:tc>
        <w:tc>
          <w:tcPr>
            <w:tcW w:w="2166" w:type="dxa"/>
            <w:tcBorders>
              <w:left w:val="single" w:color="7E7E7E" w:themeColor="text1" w:themeTint="80" w:sz="4" w:space="0"/>
              <w:right w:val="single" w:color="7E7E7E" w:themeColor="text1" w:themeTint="80" w:sz="4" w:space="0"/>
            </w:tcBorders>
            <w:noWrap/>
          </w:tcPr>
          <w:p>
            <w:pPr>
              <w:pStyle w:val="49"/>
              <w:jc w:val="center"/>
              <w:rPr>
                <w:rFonts w:ascii="仿宋_GB2312"/>
              </w:rPr>
            </w:pPr>
            <w:r>
              <w:rPr>
                <w:rFonts w:hint="eastAsia" w:ascii="仿宋_GB2312"/>
              </w:rPr>
              <w:t>3717288</w:t>
            </w:r>
          </w:p>
        </w:tc>
        <w:tc>
          <w:tcPr>
            <w:tcW w:w="2166" w:type="dxa"/>
            <w:tcBorders>
              <w:left w:val="single" w:color="7E7E7E" w:themeColor="text1" w:themeTint="80" w:sz="4" w:space="0"/>
              <w:right w:val="nil"/>
            </w:tcBorders>
            <w:noWrap/>
          </w:tcPr>
          <w:p>
            <w:pPr>
              <w:pStyle w:val="49"/>
              <w:jc w:val="center"/>
              <w:rPr>
                <w:rFonts w:ascii="仿宋_GB2312"/>
              </w:rPr>
            </w:pPr>
            <w:r>
              <w:rPr>
                <w:rFonts w:hint="eastAsia" w:ascii="仿宋_GB2312"/>
              </w:rPr>
              <w:t>5073.20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808" w:type="dxa"/>
            <w:noWrap/>
          </w:tcPr>
          <w:p>
            <w:pPr>
              <w:pStyle w:val="49"/>
              <w:rPr>
                <w:rFonts w:ascii="仿宋_GB2312"/>
                <w:b/>
              </w:rPr>
            </w:pPr>
            <w:r>
              <w:rPr>
                <w:rFonts w:ascii="仿宋_GB2312"/>
                <w:b/>
              </w:rPr>
              <w:t>2024</w:t>
            </w:r>
          </w:p>
        </w:tc>
        <w:tc>
          <w:tcPr>
            <w:tcW w:w="2166" w:type="dxa"/>
            <w:tcBorders>
              <w:top w:val="single" w:color="7E7E7E" w:themeColor="text1" w:themeTint="80" w:sz="4" w:space="0"/>
              <w:left w:val="nil"/>
              <w:bottom w:val="single" w:color="7E7E7E" w:themeColor="text1" w:themeTint="80" w:sz="4" w:space="0"/>
              <w:right w:val="single" w:color="7E7E7E" w:themeColor="text1" w:themeTint="80" w:sz="4" w:space="0"/>
            </w:tcBorders>
            <w:noWrap/>
          </w:tcPr>
          <w:p>
            <w:pPr>
              <w:pStyle w:val="49"/>
              <w:jc w:val="center"/>
              <w:rPr>
                <w:rFonts w:ascii="仿宋_GB2312"/>
              </w:rPr>
            </w:pPr>
            <w:r>
              <w:rPr>
                <w:rFonts w:hint="eastAsia" w:ascii="仿宋_GB2312"/>
              </w:rPr>
              <w:t>2241937</w:t>
            </w:r>
          </w:p>
        </w:tc>
        <w:tc>
          <w:tcPr>
            <w:tcW w:w="2166"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tcBorders>
            <w:noWrap/>
          </w:tcPr>
          <w:p>
            <w:pPr>
              <w:pStyle w:val="49"/>
              <w:jc w:val="center"/>
              <w:rPr>
                <w:rFonts w:ascii="仿宋_GB2312"/>
              </w:rPr>
            </w:pPr>
            <w:r>
              <w:rPr>
                <w:rFonts w:hint="eastAsia" w:ascii="仿宋_GB2312"/>
              </w:rPr>
              <w:t>3913024</w:t>
            </w:r>
          </w:p>
        </w:tc>
        <w:tc>
          <w:tcPr>
            <w:tcW w:w="2166" w:type="dxa"/>
            <w:tcBorders>
              <w:top w:val="single" w:color="7E7E7E" w:themeColor="text1" w:themeTint="80" w:sz="4" w:space="0"/>
              <w:left w:val="single" w:color="7E7E7E" w:themeColor="text1" w:themeTint="80" w:sz="4" w:space="0"/>
              <w:bottom w:val="single" w:color="7E7E7E" w:themeColor="text1" w:themeTint="80" w:sz="4" w:space="0"/>
              <w:right w:val="nil"/>
            </w:tcBorders>
            <w:noWrap/>
          </w:tcPr>
          <w:p>
            <w:pPr>
              <w:pStyle w:val="49"/>
              <w:jc w:val="center"/>
              <w:rPr>
                <w:rFonts w:ascii="仿宋_GB2312"/>
              </w:rPr>
            </w:pPr>
            <w:r>
              <w:rPr>
                <w:rFonts w:hint="eastAsia" w:ascii="仿宋_GB2312"/>
              </w:rPr>
              <w:t>5274.76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808" w:type="dxa"/>
            <w:noWrap/>
          </w:tcPr>
          <w:p>
            <w:pPr>
              <w:pStyle w:val="49"/>
              <w:rPr>
                <w:rFonts w:ascii="仿宋_GB2312"/>
                <w:b/>
              </w:rPr>
            </w:pPr>
            <w:r>
              <w:rPr>
                <w:rFonts w:ascii="仿宋_GB2312"/>
                <w:b/>
              </w:rPr>
              <w:t>2025</w:t>
            </w:r>
          </w:p>
        </w:tc>
        <w:tc>
          <w:tcPr>
            <w:tcW w:w="2166" w:type="dxa"/>
            <w:tcBorders>
              <w:left w:val="nil"/>
              <w:right w:val="single" w:color="7E7E7E" w:themeColor="text1" w:themeTint="80" w:sz="4" w:space="0"/>
            </w:tcBorders>
            <w:noWrap/>
          </w:tcPr>
          <w:p>
            <w:pPr>
              <w:pStyle w:val="49"/>
              <w:jc w:val="center"/>
              <w:rPr>
                <w:rFonts w:ascii="仿宋_GB2312"/>
              </w:rPr>
            </w:pPr>
            <w:r>
              <w:rPr>
                <w:rFonts w:hint="eastAsia" w:ascii="仿宋_GB2312"/>
              </w:rPr>
              <w:t>2397664</w:t>
            </w:r>
          </w:p>
        </w:tc>
        <w:tc>
          <w:tcPr>
            <w:tcW w:w="2166" w:type="dxa"/>
            <w:tcBorders>
              <w:left w:val="single" w:color="7E7E7E" w:themeColor="text1" w:themeTint="80" w:sz="4" w:space="0"/>
              <w:right w:val="single" w:color="7E7E7E" w:themeColor="text1" w:themeTint="80" w:sz="4" w:space="0"/>
            </w:tcBorders>
            <w:noWrap/>
          </w:tcPr>
          <w:p>
            <w:pPr>
              <w:pStyle w:val="49"/>
              <w:jc w:val="center"/>
              <w:rPr>
                <w:rFonts w:ascii="仿宋_GB2312"/>
              </w:rPr>
            </w:pPr>
            <w:r>
              <w:rPr>
                <w:rFonts w:hint="eastAsia" w:ascii="仿宋_GB2312"/>
              </w:rPr>
              <w:t>3058623</w:t>
            </w:r>
          </w:p>
        </w:tc>
        <w:tc>
          <w:tcPr>
            <w:tcW w:w="2166" w:type="dxa"/>
            <w:tcBorders>
              <w:left w:val="single" w:color="7E7E7E" w:themeColor="text1" w:themeTint="80" w:sz="4" w:space="0"/>
              <w:right w:val="nil"/>
            </w:tcBorders>
            <w:noWrap/>
          </w:tcPr>
          <w:p>
            <w:pPr>
              <w:pStyle w:val="49"/>
              <w:jc w:val="center"/>
              <w:rPr>
                <w:rFonts w:ascii="仿宋_GB2312"/>
              </w:rPr>
            </w:pPr>
            <w:r>
              <w:rPr>
                <w:rFonts w:hint="eastAsia" w:ascii="仿宋_GB2312"/>
              </w:rPr>
              <w:t>4534.65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808" w:type="dxa"/>
            <w:noWrap/>
          </w:tcPr>
          <w:p>
            <w:pPr>
              <w:pStyle w:val="49"/>
              <w:rPr>
                <w:rFonts w:ascii="仿宋_GB2312"/>
                <w:b/>
              </w:rPr>
            </w:pPr>
            <w:r>
              <w:rPr>
                <w:rFonts w:hint="eastAsia" w:ascii="仿宋_GB2312"/>
                <w:b/>
              </w:rPr>
              <w:t>年均增长率</w:t>
            </w:r>
          </w:p>
        </w:tc>
        <w:tc>
          <w:tcPr>
            <w:tcW w:w="2166" w:type="dxa"/>
            <w:tcBorders>
              <w:top w:val="single" w:color="7E7E7E" w:themeColor="text1" w:themeTint="80" w:sz="4" w:space="0"/>
              <w:left w:val="nil"/>
              <w:bottom w:val="single" w:color="7E7E7E" w:themeColor="text1" w:themeTint="80" w:sz="4" w:space="0"/>
              <w:right w:val="single" w:color="7E7E7E" w:themeColor="text1" w:themeTint="80" w:sz="4" w:space="0"/>
            </w:tcBorders>
            <w:noWrap/>
          </w:tcPr>
          <w:p>
            <w:pPr>
              <w:pStyle w:val="49"/>
              <w:jc w:val="center"/>
              <w:rPr>
                <w:rFonts w:ascii="仿宋_GB2312"/>
              </w:rPr>
            </w:pPr>
            <w:r>
              <w:rPr>
                <w:rFonts w:hint="eastAsia" w:ascii="仿宋_GB2312"/>
              </w:rPr>
              <w:t>1.58%</w:t>
            </w:r>
          </w:p>
        </w:tc>
        <w:tc>
          <w:tcPr>
            <w:tcW w:w="2166"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tcBorders>
            <w:noWrap/>
          </w:tcPr>
          <w:p>
            <w:pPr>
              <w:pStyle w:val="49"/>
              <w:jc w:val="center"/>
              <w:rPr>
                <w:rFonts w:ascii="仿宋_GB2312"/>
              </w:rPr>
            </w:pPr>
            <w:r>
              <w:rPr>
                <w:rFonts w:hint="eastAsia" w:ascii="仿宋_GB2312"/>
              </w:rPr>
              <w:t>-1.80%</w:t>
            </w:r>
          </w:p>
        </w:tc>
        <w:tc>
          <w:tcPr>
            <w:tcW w:w="2166" w:type="dxa"/>
            <w:tcBorders>
              <w:top w:val="single" w:color="7E7E7E" w:themeColor="text1" w:themeTint="80" w:sz="4" w:space="0"/>
              <w:left w:val="single" w:color="7E7E7E" w:themeColor="text1" w:themeTint="80" w:sz="4" w:space="0"/>
              <w:bottom w:val="single" w:color="7E7E7E" w:themeColor="text1" w:themeTint="80" w:sz="4" w:space="0"/>
              <w:right w:val="nil"/>
            </w:tcBorders>
            <w:noWrap/>
          </w:tcPr>
          <w:p>
            <w:pPr>
              <w:pStyle w:val="49"/>
              <w:jc w:val="center"/>
              <w:rPr>
                <w:rFonts w:ascii="仿宋_GB2312"/>
              </w:rPr>
            </w:pPr>
            <w:r>
              <w:rPr>
                <w:rFonts w:hint="eastAsia" w:ascii="仿宋_GB2312"/>
              </w:rPr>
              <w:t>0.21%</w:t>
            </w:r>
          </w:p>
        </w:tc>
      </w:tr>
    </w:tbl>
    <w:p>
      <w:pPr>
        <w:spacing w:before="156" w:beforeLines="50" w:after="156" w:afterLines="50"/>
        <w:ind w:firstLine="0" w:firstLineChars="0"/>
        <w:jc w:val="center"/>
        <w:rPr>
          <w:rFonts w:ascii="仿宋_GB2312"/>
          <w:b/>
          <w:bCs/>
        </w:rPr>
      </w:pPr>
      <w:r>
        <w:rPr>
          <w:rFonts w:hint="eastAsia" w:ascii="仿宋_GB2312"/>
          <w:b/>
          <w:bCs/>
        </w:rPr>
        <w:t xml:space="preserve">表4 </w:t>
      </w:r>
      <w:r>
        <w:rPr>
          <w:rFonts w:ascii="仿宋_GB2312"/>
          <w:b/>
          <w:bCs/>
        </w:rPr>
        <w:t>2025</w:t>
      </w:r>
      <w:r>
        <w:rPr>
          <w:rFonts w:hint="eastAsia" w:ascii="仿宋_GB2312"/>
          <w:b/>
          <w:bCs/>
        </w:rPr>
        <w:t>年底闽清县专用型蛋鸡核心乡镇分布</w:t>
      </w:r>
    </w:p>
    <w:tbl>
      <w:tblPr>
        <w:tblStyle w:val="62"/>
        <w:tblW w:w="5000" w:type="pct"/>
        <w:tblInd w:w="0" w:type="dxa"/>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Layout w:type="autofit"/>
        <w:tblCellMar>
          <w:top w:w="0" w:type="dxa"/>
          <w:left w:w="108" w:type="dxa"/>
          <w:bottom w:w="0" w:type="dxa"/>
          <w:right w:w="108" w:type="dxa"/>
        </w:tblCellMar>
      </w:tblPr>
      <w:tblGrid>
        <w:gridCol w:w="2114"/>
        <w:gridCol w:w="2115"/>
        <w:gridCol w:w="2176"/>
        <w:gridCol w:w="2117"/>
      </w:tblGrid>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300" w:hRule="atLeast"/>
        </w:trPr>
        <w:tc>
          <w:tcPr>
            <w:tcW w:w="1242" w:type="pct"/>
            <w:tcBorders>
              <w:bottom w:val="nil"/>
            </w:tcBorders>
            <w:noWrap/>
          </w:tcPr>
          <w:p>
            <w:pPr>
              <w:widowControl/>
              <w:spacing w:line="240" w:lineRule="auto"/>
              <w:ind w:firstLine="0" w:firstLineChars="0"/>
              <w:jc w:val="center"/>
              <w:rPr>
                <w:rFonts w:ascii="仿宋_GB2312"/>
                <w:b/>
                <w:bCs/>
              </w:rPr>
            </w:pPr>
            <w:r>
              <w:rPr>
                <w:rFonts w:hint="eastAsia" w:ascii="仿宋_GB2312"/>
                <w:b/>
                <w:bCs/>
              </w:rPr>
              <w:t>乡镇名称</w:t>
            </w:r>
          </w:p>
        </w:tc>
        <w:tc>
          <w:tcPr>
            <w:tcW w:w="1242" w:type="pct"/>
            <w:tcBorders>
              <w:bottom w:val="nil"/>
            </w:tcBorders>
            <w:noWrap/>
          </w:tcPr>
          <w:p>
            <w:pPr>
              <w:widowControl/>
              <w:spacing w:line="240" w:lineRule="auto"/>
              <w:ind w:firstLine="0" w:firstLineChars="0"/>
              <w:jc w:val="center"/>
              <w:rPr>
                <w:rFonts w:ascii="仿宋_GB2312"/>
                <w:b/>
                <w:bCs/>
              </w:rPr>
            </w:pPr>
            <w:r>
              <w:rPr>
                <w:rFonts w:hint="eastAsia" w:ascii="仿宋_GB2312"/>
                <w:b/>
                <w:bCs/>
              </w:rPr>
              <w:t>存栏量（羽）</w:t>
            </w:r>
          </w:p>
        </w:tc>
        <w:tc>
          <w:tcPr>
            <w:tcW w:w="1272" w:type="pct"/>
            <w:tcBorders>
              <w:bottom w:val="nil"/>
            </w:tcBorders>
            <w:noWrap/>
          </w:tcPr>
          <w:p>
            <w:pPr>
              <w:widowControl/>
              <w:spacing w:line="240" w:lineRule="auto"/>
              <w:ind w:firstLine="0" w:firstLineChars="0"/>
              <w:jc w:val="center"/>
              <w:rPr>
                <w:rFonts w:ascii="仿宋_GB2312"/>
                <w:b/>
                <w:bCs/>
              </w:rPr>
            </w:pPr>
            <w:r>
              <w:rPr>
                <w:rFonts w:hint="eastAsia" w:ascii="仿宋_GB2312"/>
                <w:b/>
                <w:bCs/>
              </w:rPr>
              <w:t>占全县比重</w:t>
            </w:r>
            <w:r>
              <w:rPr>
                <w:rFonts w:ascii="仿宋_GB2312"/>
                <w:b/>
                <w:bCs/>
              </w:rPr>
              <w:t>(%)</w:t>
            </w:r>
          </w:p>
        </w:tc>
        <w:tc>
          <w:tcPr>
            <w:tcW w:w="1243" w:type="pct"/>
            <w:tcBorders>
              <w:bottom w:val="nil"/>
            </w:tcBorders>
            <w:noWrap/>
          </w:tcPr>
          <w:p>
            <w:pPr>
              <w:widowControl/>
              <w:spacing w:line="240" w:lineRule="auto"/>
              <w:ind w:firstLine="0" w:firstLineChars="0"/>
              <w:jc w:val="center"/>
              <w:rPr>
                <w:rFonts w:ascii="仿宋_GB2312"/>
                <w:b/>
                <w:bCs/>
              </w:rPr>
            </w:pPr>
            <w:r>
              <w:rPr>
                <w:rFonts w:hint="eastAsia" w:ascii="仿宋_GB2312"/>
                <w:b/>
                <w:bCs/>
              </w:rPr>
              <w:t>累计占比</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300" w:hRule="atLeast"/>
        </w:trPr>
        <w:tc>
          <w:tcPr>
            <w:tcW w:w="1242" w:type="pct"/>
            <w:noWrap/>
          </w:tcPr>
          <w:p>
            <w:pPr>
              <w:widowControl/>
              <w:spacing w:line="240" w:lineRule="auto"/>
              <w:ind w:firstLine="0" w:firstLineChars="0"/>
              <w:jc w:val="center"/>
              <w:rPr>
                <w:rFonts w:ascii="仿宋_GB2312"/>
                <w:b/>
                <w:bCs/>
              </w:rPr>
            </w:pPr>
            <w:r>
              <w:rPr>
                <w:rFonts w:hint="eastAsia" w:ascii="仿宋_GB2312"/>
                <w:b/>
                <w:bCs/>
              </w:rPr>
              <w:t>桔林</w:t>
            </w:r>
          </w:p>
        </w:tc>
        <w:tc>
          <w:tcPr>
            <w:tcW w:w="1242" w:type="pct"/>
            <w:noWrap/>
          </w:tcPr>
          <w:p>
            <w:pPr>
              <w:widowControl/>
              <w:spacing w:line="240" w:lineRule="auto"/>
              <w:ind w:firstLine="0" w:firstLineChars="0"/>
              <w:jc w:val="center"/>
              <w:rPr>
                <w:rFonts w:ascii="仿宋_GB2312"/>
              </w:rPr>
            </w:pPr>
            <w:r>
              <w:rPr>
                <w:rFonts w:ascii="仿宋_GB2312"/>
              </w:rPr>
              <w:t>651452</w:t>
            </w:r>
          </w:p>
        </w:tc>
        <w:tc>
          <w:tcPr>
            <w:tcW w:w="1272" w:type="pct"/>
            <w:noWrap/>
          </w:tcPr>
          <w:p>
            <w:pPr>
              <w:widowControl/>
              <w:spacing w:line="240" w:lineRule="auto"/>
              <w:ind w:firstLine="0" w:firstLineChars="0"/>
              <w:jc w:val="center"/>
              <w:rPr>
                <w:rFonts w:ascii="仿宋_GB2312"/>
              </w:rPr>
            </w:pPr>
            <w:r>
              <w:rPr>
                <w:rFonts w:ascii="仿宋_GB2312"/>
              </w:rPr>
              <w:t>48.43</w:t>
            </w:r>
          </w:p>
        </w:tc>
        <w:tc>
          <w:tcPr>
            <w:tcW w:w="1243" w:type="pct"/>
            <w:noWrap/>
          </w:tcPr>
          <w:p>
            <w:pPr>
              <w:widowControl/>
              <w:spacing w:line="240" w:lineRule="auto"/>
              <w:ind w:firstLine="0" w:firstLineChars="0"/>
              <w:jc w:val="center"/>
              <w:rPr>
                <w:rFonts w:ascii="仿宋_GB2312"/>
              </w:rPr>
            </w:pPr>
            <w:r>
              <w:rPr>
                <w:rFonts w:ascii="仿宋_GB2312"/>
              </w:rPr>
              <w:t>48.43</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300" w:hRule="atLeast"/>
        </w:trPr>
        <w:tc>
          <w:tcPr>
            <w:tcW w:w="1242" w:type="pct"/>
            <w:noWrap/>
          </w:tcPr>
          <w:p>
            <w:pPr>
              <w:widowControl/>
              <w:spacing w:line="240" w:lineRule="auto"/>
              <w:ind w:firstLine="0" w:firstLineChars="0"/>
              <w:jc w:val="center"/>
              <w:rPr>
                <w:rFonts w:ascii="仿宋_GB2312"/>
                <w:b/>
                <w:bCs/>
              </w:rPr>
            </w:pPr>
            <w:r>
              <w:rPr>
                <w:rFonts w:hint="eastAsia" w:ascii="仿宋_GB2312"/>
                <w:b/>
                <w:bCs/>
              </w:rPr>
              <w:t>下祝</w:t>
            </w:r>
          </w:p>
        </w:tc>
        <w:tc>
          <w:tcPr>
            <w:tcW w:w="1242" w:type="pct"/>
            <w:noWrap/>
          </w:tcPr>
          <w:p>
            <w:pPr>
              <w:widowControl/>
              <w:spacing w:line="240" w:lineRule="auto"/>
              <w:ind w:firstLine="0" w:firstLineChars="0"/>
              <w:jc w:val="center"/>
              <w:rPr>
                <w:rFonts w:ascii="仿宋_GB2312"/>
              </w:rPr>
            </w:pPr>
            <w:r>
              <w:rPr>
                <w:rFonts w:ascii="仿宋_GB2312"/>
              </w:rPr>
              <w:t>428733</w:t>
            </w:r>
          </w:p>
        </w:tc>
        <w:tc>
          <w:tcPr>
            <w:tcW w:w="1272" w:type="pct"/>
            <w:noWrap/>
          </w:tcPr>
          <w:p>
            <w:pPr>
              <w:widowControl/>
              <w:spacing w:line="240" w:lineRule="auto"/>
              <w:ind w:firstLine="0" w:firstLineChars="0"/>
              <w:jc w:val="center"/>
              <w:rPr>
                <w:rFonts w:ascii="仿宋_GB2312"/>
              </w:rPr>
            </w:pPr>
            <w:r>
              <w:rPr>
                <w:rFonts w:ascii="仿宋_GB2312"/>
              </w:rPr>
              <w:t>31.87</w:t>
            </w:r>
          </w:p>
        </w:tc>
        <w:tc>
          <w:tcPr>
            <w:tcW w:w="1243" w:type="pct"/>
            <w:noWrap/>
          </w:tcPr>
          <w:p>
            <w:pPr>
              <w:widowControl/>
              <w:spacing w:line="240" w:lineRule="auto"/>
              <w:ind w:firstLine="0" w:firstLineChars="0"/>
              <w:jc w:val="center"/>
              <w:rPr>
                <w:rFonts w:ascii="仿宋_GB2312"/>
              </w:rPr>
            </w:pPr>
            <w:r>
              <w:rPr>
                <w:rFonts w:hint="eastAsia" w:ascii="仿宋_GB2312"/>
              </w:rPr>
              <w:t>80</w:t>
            </w:r>
            <w:r>
              <w:rPr>
                <w:rFonts w:ascii="仿宋_GB2312"/>
              </w:rPr>
              <w:t>.</w:t>
            </w:r>
            <w:r>
              <w:rPr>
                <w:rFonts w:hint="eastAsia" w:ascii="仿宋_GB2312"/>
              </w:rPr>
              <w:t>30</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300" w:hRule="atLeast"/>
        </w:trPr>
        <w:tc>
          <w:tcPr>
            <w:tcW w:w="1242" w:type="pct"/>
            <w:noWrap/>
          </w:tcPr>
          <w:p>
            <w:pPr>
              <w:widowControl/>
              <w:spacing w:line="240" w:lineRule="auto"/>
              <w:ind w:firstLine="0" w:firstLineChars="0"/>
              <w:jc w:val="center"/>
              <w:rPr>
                <w:rFonts w:ascii="仿宋_GB2312"/>
                <w:b/>
                <w:bCs/>
              </w:rPr>
            </w:pPr>
            <w:r>
              <w:rPr>
                <w:rFonts w:hint="eastAsia" w:ascii="仿宋_GB2312"/>
                <w:b/>
                <w:bCs/>
              </w:rPr>
              <w:t>云龙</w:t>
            </w:r>
          </w:p>
        </w:tc>
        <w:tc>
          <w:tcPr>
            <w:tcW w:w="1242" w:type="pct"/>
            <w:noWrap/>
          </w:tcPr>
          <w:p>
            <w:pPr>
              <w:widowControl/>
              <w:spacing w:line="240" w:lineRule="auto"/>
              <w:ind w:firstLine="0" w:firstLineChars="0"/>
              <w:jc w:val="center"/>
              <w:rPr>
                <w:rFonts w:ascii="仿宋_GB2312"/>
              </w:rPr>
            </w:pPr>
            <w:r>
              <w:rPr>
                <w:rFonts w:ascii="仿宋_GB2312"/>
              </w:rPr>
              <w:t>129200</w:t>
            </w:r>
          </w:p>
        </w:tc>
        <w:tc>
          <w:tcPr>
            <w:tcW w:w="1272" w:type="pct"/>
            <w:noWrap/>
          </w:tcPr>
          <w:p>
            <w:pPr>
              <w:widowControl/>
              <w:spacing w:line="240" w:lineRule="auto"/>
              <w:ind w:firstLine="0" w:firstLineChars="0"/>
              <w:jc w:val="center"/>
              <w:rPr>
                <w:rFonts w:ascii="仿宋_GB2312"/>
              </w:rPr>
            </w:pPr>
            <w:r>
              <w:rPr>
                <w:rFonts w:ascii="仿宋_GB2312"/>
              </w:rPr>
              <w:t>9.60</w:t>
            </w:r>
          </w:p>
        </w:tc>
        <w:tc>
          <w:tcPr>
            <w:tcW w:w="1243" w:type="pct"/>
            <w:noWrap/>
          </w:tcPr>
          <w:p>
            <w:pPr>
              <w:widowControl/>
              <w:spacing w:line="240" w:lineRule="auto"/>
              <w:ind w:firstLine="0" w:firstLineChars="0"/>
              <w:jc w:val="center"/>
              <w:rPr>
                <w:rFonts w:ascii="仿宋_GB2312"/>
              </w:rPr>
            </w:pPr>
            <w:r>
              <w:rPr>
                <w:rFonts w:hint="eastAsia" w:ascii="仿宋_GB2312"/>
              </w:rPr>
              <w:t>89</w:t>
            </w:r>
            <w:r>
              <w:rPr>
                <w:rFonts w:ascii="仿宋_GB2312"/>
              </w:rPr>
              <w:t>.</w:t>
            </w:r>
            <w:r>
              <w:rPr>
                <w:rFonts w:hint="eastAsia" w:ascii="仿宋_GB2312"/>
              </w:rPr>
              <w:t>90</w:t>
            </w:r>
          </w:p>
        </w:tc>
      </w:tr>
    </w:tbl>
    <w:p>
      <w:pPr>
        <w:spacing w:before="156" w:beforeLines="50" w:after="156" w:afterLines="50"/>
        <w:ind w:firstLine="0" w:firstLineChars="0"/>
        <w:jc w:val="center"/>
        <w:rPr>
          <w:rFonts w:ascii="仿宋_GB2312"/>
          <w:b/>
          <w:bCs/>
        </w:rPr>
      </w:pPr>
      <w:r>
        <w:rPr>
          <w:rFonts w:hint="eastAsia" w:ascii="仿宋_GB2312"/>
          <w:b/>
          <w:bCs/>
        </w:rPr>
        <w:t xml:space="preserve">表5 </w:t>
      </w:r>
      <w:r>
        <w:rPr>
          <w:rFonts w:ascii="仿宋_GB2312"/>
          <w:b/>
          <w:bCs/>
        </w:rPr>
        <w:t>2025</w:t>
      </w:r>
      <w:r>
        <w:rPr>
          <w:rFonts w:hint="eastAsia" w:ascii="仿宋_GB2312"/>
          <w:b/>
          <w:bCs/>
        </w:rPr>
        <w:t>年底闽清县活鸭产业核心乡镇</w:t>
      </w:r>
    </w:p>
    <w:tbl>
      <w:tblPr>
        <w:tblStyle w:val="67"/>
        <w:tblW w:w="5000" w:type="pct"/>
        <w:tblInd w:w="0" w:type="dxa"/>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Layout w:type="fixed"/>
        <w:tblCellMar>
          <w:top w:w="0" w:type="dxa"/>
          <w:left w:w="108" w:type="dxa"/>
          <w:bottom w:w="0" w:type="dxa"/>
          <w:right w:w="108" w:type="dxa"/>
        </w:tblCellMar>
      </w:tblPr>
      <w:tblGrid>
        <w:gridCol w:w="1891"/>
        <w:gridCol w:w="2182"/>
        <w:gridCol w:w="2182"/>
        <w:gridCol w:w="2266"/>
      </w:tblGrid>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300" w:hRule="atLeast"/>
        </w:trPr>
        <w:tc>
          <w:tcPr>
            <w:tcW w:w="1109" w:type="pct"/>
            <w:tcBorders>
              <w:bottom w:val="single" w:color="7E7E7E" w:themeColor="text1" w:themeTint="80" w:sz="4" w:space="0"/>
              <w:insideH w:val="single" w:sz="4" w:space="0"/>
            </w:tcBorders>
            <w:noWrap/>
          </w:tcPr>
          <w:p>
            <w:pPr>
              <w:widowControl/>
              <w:spacing w:line="240" w:lineRule="auto"/>
              <w:ind w:firstLine="0" w:firstLineChars="0"/>
              <w:jc w:val="center"/>
              <w:rPr>
                <w:rFonts w:ascii="仿宋_GB2312"/>
                <w:b/>
                <w:bCs/>
              </w:rPr>
            </w:pPr>
            <w:r>
              <w:rPr>
                <w:rFonts w:hint="eastAsia" w:ascii="仿宋_GB2312"/>
                <w:b/>
                <w:bCs/>
              </w:rPr>
              <w:t>乡镇名称</w:t>
            </w:r>
          </w:p>
        </w:tc>
        <w:tc>
          <w:tcPr>
            <w:tcW w:w="1280" w:type="pct"/>
            <w:tcBorders>
              <w:bottom w:val="single" w:color="7E7E7E" w:themeColor="text1" w:themeTint="80" w:sz="4" w:space="0"/>
              <w:insideH w:val="single" w:sz="4" w:space="0"/>
            </w:tcBorders>
            <w:noWrap/>
          </w:tcPr>
          <w:p>
            <w:pPr>
              <w:widowControl/>
              <w:spacing w:line="240" w:lineRule="auto"/>
              <w:ind w:firstLine="0" w:firstLineChars="0"/>
              <w:jc w:val="center"/>
              <w:rPr>
                <w:rFonts w:ascii="仿宋_GB2312"/>
                <w:b/>
                <w:bCs/>
              </w:rPr>
            </w:pPr>
            <w:r>
              <w:rPr>
                <w:rFonts w:hint="eastAsia" w:ascii="仿宋_GB2312"/>
                <w:b/>
                <w:bCs/>
              </w:rPr>
              <w:t>存栏量（只）</w:t>
            </w:r>
          </w:p>
        </w:tc>
        <w:tc>
          <w:tcPr>
            <w:tcW w:w="1280" w:type="pct"/>
            <w:tcBorders>
              <w:bottom w:val="single" w:color="7E7E7E" w:themeColor="text1" w:themeTint="80" w:sz="4" w:space="0"/>
              <w:insideH w:val="single" w:sz="4" w:space="0"/>
            </w:tcBorders>
            <w:noWrap/>
          </w:tcPr>
          <w:p>
            <w:pPr>
              <w:widowControl/>
              <w:spacing w:line="240" w:lineRule="auto"/>
              <w:ind w:firstLine="0" w:firstLineChars="0"/>
              <w:jc w:val="center"/>
              <w:rPr>
                <w:rFonts w:ascii="仿宋_GB2312"/>
                <w:b/>
                <w:bCs/>
              </w:rPr>
            </w:pPr>
            <w:r>
              <w:rPr>
                <w:rFonts w:hint="eastAsia" w:ascii="仿宋_GB2312"/>
                <w:b/>
                <w:bCs/>
              </w:rPr>
              <w:t>占全县比重</w:t>
            </w:r>
          </w:p>
        </w:tc>
        <w:tc>
          <w:tcPr>
            <w:tcW w:w="1330" w:type="pct"/>
            <w:tcBorders>
              <w:bottom w:val="single" w:color="7E7E7E" w:themeColor="text1" w:themeTint="80" w:sz="4" w:space="0"/>
              <w:insideH w:val="single" w:sz="4" w:space="0"/>
            </w:tcBorders>
            <w:noWrap/>
          </w:tcPr>
          <w:p>
            <w:pPr>
              <w:widowControl/>
              <w:spacing w:line="240" w:lineRule="auto"/>
              <w:ind w:firstLine="0" w:firstLineChars="0"/>
              <w:jc w:val="center"/>
              <w:rPr>
                <w:rFonts w:ascii="仿宋_GB2312"/>
                <w:b/>
                <w:bCs/>
              </w:rPr>
            </w:pPr>
            <w:r>
              <w:rPr>
                <w:rFonts w:hint="eastAsia" w:ascii="仿宋_GB2312"/>
                <w:b/>
                <w:bCs/>
              </w:rPr>
              <w:t>累计占比（%）</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300" w:hRule="atLeast"/>
        </w:trPr>
        <w:tc>
          <w:tcPr>
            <w:tcW w:w="1109" w:type="pct"/>
            <w:tcBorders>
              <w:top w:val="single" w:color="7E7E7E" w:themeColor="text1" w:themeTint="80" w:sz="4" w:space="0"/>
              <w:bottom w:val="single" w:color="7E7E7E" w:themeColor="text1" w:themeTint="80" w:sz="4" w:space="0"/>
            </w:tcBorders>
            <w:noWrap/>
          </w:tcPr>
          <w:p>
            <w:pPr>
              <w:widowControl/>
              <w:spacing w:line="240" w:lineRule="auto"/>
              <w:ind w:firstLine="0" w:firstLineChars="0"/>
              <w:jc w:val="center"/>
              <w:rPr>
                <w:rFonts w:ascii="仿宋_GB2312"/>
                <w:b w:val="0"/>
                <w:bCs/>
              </w:rPr>
            </w:pPr>
            <w:r>
              <w:rPr>
                <w:rFonts w:hint="eastAsia" w:ascii="仿宋_GB2312"/>
                <w:b/>
                <w:bCs/>
              </w:rPr>
              <w:t>东桥</w:t>
            </w:r>
          </w:p>
        </w:tc>
        <w:tc>
          <w:tcPr>
            <w:tcW w:w="1280" w:type="pct"/>
            <w:tcBorders>
              <w:top w:val="single" w:color="7E7E7E" w:themeColor="text1" w:themeTint="80" w:sz="4" w:space="0"/>
              <w:bottom w:val="single" w:color="7E7E7E" w:themeColor="text1" w:themeTint="80" w:sz="4" w:space="0"/>
            </w:tcBorders>
            <w:noWrap/>
          </w:tcPr>
          <w:p>
            <w:pPr>
              <w:widowControl/>
              <w:spacing w:line="240" w:lineRule="auto"/>
              <w:ind w:firstLine="0" w:firstLineChars="0"/>
              <w:jc w:val="center"/>
              <w:rPr>
                <w:rFonts w:ascii="仿宋_GB2312"/>
              </w:rPr>
            </w:pPr>
            <w:r>
              <w:rPr>
                <w:rFonts w:ascii="仿宋_GB2312"/>
              </w:rPr>
              <w:t>93448</w:t>
            </w:r>
          </w:p>
        </w:tc>
        <w:tc>
          <w:tcPr>
            <w:tcW w:w="1280" w:type="pct"/>
            <w:tcBorders>
              <w:top w:val="single" w:color="7E7E7E" w:themeColor="text1" w:themeTint="80" w:sz="4" w:space="0"/>
              <w:bottom w:val="single" w:color="7E7E7E" w:themeColor="text1" w:themeTint="80" w:sz="4" w:space="0"/>
            </w:tcBorders>
            <w:noWrap/>
          </w:tcPr>
          <w:p>
            <w:pPr>
              <w:widowControl/>
              <w:spacing w:line="240" w:lineRule="auto"/>
              <w:ind w:firstLine="0" w:firstLineChars="0"/>
              <w:jc w:val="center"/>
              <w:rPr>
                <w:rFonts w:ascii="仿宋_GB2312"/>
              </w:rPr>
            </w:pPr>
            <w:r>
              <w:rPr>
                <w:rFonts w:ascii="仿宋_GB2312"/>
              </w:rPr>
              <w:t>17.69%</w:t>
            </w:r>
          </w:p>
        </w:tc>
        <w:tc>
          <w:tcPr>
            <w:tcW w:w="1330" w:type="pct"/>
            <w:tcBorders>
              <w:top w:val="single" w:color="7E7E7E" w:themeColor="text1" w:themeTint="80" w:sz="4" w:space="0"/>
              <w:bottom w:val="single" w:color="7E7E7E" w:themeColor="text1" w:themeTint="80" w:sz="4" w:space="0"/>
            </w:tcBorders>
            <w:noWrap/>
          </w:tcPr>
          <w:p>
            <w:pPr>
              <w:widowControl/>
              <w:spacing w:line="240" w:lineRule="auto"/>
              <w:ind w:firstLine="0" w:firstLineChars="0"/>
              <w:jc w:val="center"/>
              <w:rPr>
                <w:rFonts w:ascii="仿宋_GB2312"/>
              </w:rPr>
            </w:pPr>
            <w:r>
              <w:rPr>
                <w:rFonts w:ascii="仿宋_GB2312"/>
              </w:rPr>
              <w:t>17.69</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300" w:hRule="atLeast"/>
        </w:trPr>
        <w:tc>
          <w:tcPr>
            <w:tcW w:w="1109" w:type="pct"/>
            <w:noWrap/>
          </w:tcPr>
          <w:p>
            <w:pPr>
              <w:widowControl/>
              <w:spacing w:line="240" w:lineRule="auto"/>
              <w:ind w:firstLine="0" w:firstLineChars="0"/>
              <w:jc w:val="center"/>
              <w:rPr>
                <w:rFonts w:ascii="仿宋_GB2312"/>
                <w:b w:val="0"/>
                <w:bCs/>
              </w:rPr>
            </w:pPr>
            <w:r>
              <w:rPr>
                <w:rFonts w:hint="eastAsia" w:ascii="仿宋_GB2312"/>
                <w:b/>
                <w:bCs/>
              </w:rPr>
              <w:t>下祝</w:t>
            </w:r>
          </w:p>
        </w:tc>
        <w:tc>
          <w:tcPr>
            <w:tcW w:w="1280" w:type="pct"/>
            <w:noWrap/>
          </w:tcPr>
          <w:p>
            <w:pPr>
              <w:widowControl/>
              <w:spacing w:line="240" w:lineRule="auto"/>
              <w:ind w:firstLine="0" w:firstLineChars="0"/>
              <w:jc w:val="center"/>
              <w:rPr>
                <w:rFonts w:ascii="仿宋_GB2312"/>
              </w:rPr>
            </w:pPr>
            <w:r>
              <w:rPr>
                <w:rFonts w:ascii="仿宋_GB2312"/>
              </w:rPr>
              <w:t>68304</w:t>
            </w:r>
          </w:p>
        </w:tc>
        <w:tc>
          <w:tcPr>
            <w:tcW w:w="1280" w:type="pct"/>
            <w:noWrap/>
          </w:tcPr>
          <w:p>
            <w:pPr>
              <w:widowControl/>
              <w:spacing w:line="240" w:lineRule="auto"/>
              <w:ind w:firstLine="0" w:firstLineChars="0"/>
              <w:jc w:val="center"/>
              <w:rPr>
                <w:rFonts w:ascii="仿宋_GB2312"/>
              </w:rPr>
            </w:pPr>
            <w:r>
              <w:rPr>
                <w:rFonts w:ascii="仿宋_GB2312"/>
              </w:rPr>
              <w:t>12.93%</w:t>
            </w:r>
          </w:p>
        </w:tc>
        <w:tc>
          <w:tcPr>
            <w:tcW w:w="1330" w:type="pct"/>
            <w:noWrap/>
          </w:tcPr>
          <w:p>
            <w:pPr>
              <w:widowControl/>
              <w:spacing w:line="240" w:lineRule="auto"/>
              <w:ind w:firstLine="0" w:firstLineChars="0"/>
              <w:jc w:val="center"/>
              <w:rPr>
                <w:rFonts w:ascii="仿宋_GB2312"/>
              </w:rPr>
            </w:pPr>
            <w:r>
              <w:rPr>
                <w:rFonts w:ascii="仿宋_GB2312"/>
              </w:rPr>
              <w:t>3</w:t>
            </w:r>
            <w:r>
              <w:rPr>
                <w:rFonts w:hint="eastAsia" w:ascii="仿宋_GB2312"/>
              </w:rPr>
              <w:t>0</w:t>
            </w:r>
            <w:r>
              <w:rPr>
                <w:rFonts w:ascii="仿宋_GB2312"/>
              </w:rPr>
              <w:t>.</w:t>
            </w:r>
            <w:r>
              <w:rPr>
                <w:rFonts w:hint="eastAsia" w:ascii="仿宋_GB2312"/>
              </w:rPr>
              <w:t>6</w:t>
            </w:r>
            <w:r>
              <w:rPr>
                <w:rFonts w:ascii="仿宋_GB2312"/>
              </w:rPr>
              <w:t>2</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300" w:hRule="atLeast"/>
        </w:trPr>
        <w:tc>
          <w:tcPr>
            <w:tcW w:w="1109" w:type="pct"/>
            <w:tcBorders>
              <w:top w:val="single" w:color="7E7E7E" w:themeColor="text1" w:themeTint="80" w:sz="4" w:space="0"/>
              <w:bottom w:val="single" w:color="7E7E7E" w:themeColor="text1" w:themeTint="80" w:sz="4" w:space="0"/>
            </w:tcBorders>
            <w:noWrap/>
          </w:tcPr>
          <w:p>
            <w:pPr>
              <w:widowControl/>
              <w:spacing w:line="240" w:lineRule="auto"/>
              <w:ind w:firstLine="0" w:firstLineChars="0"/>
              <w:jc w:val="center"/>
              <w:rPr>
                <w:rFonts w:ascii="仿宋_GB2312"/>
                <w:b w:val="0"/>
                <w:bCs/>
              </w:rPr>
            </w:pPr>
            <w:r>
              <w:rPr>
                <w:rFonts w:hint="eastAsia" w:ascii="仿宋_GB2312"/>
                <w:b/>
                <w:bCs/>
              </w:rPr>
              <w:t>白樟</w:t>
            </w:r>
          </w:p>
        </w:tc>
        <w:tc>
          <w:tcPr>
            <w:tcW w:w="1280" w:type="pct"/>
            <w:tcBorders>
              <w:top w:val="single" w:color="7E7E7E" w:themeColor="text1" w:themeTint="80" w:sz="4" w:space="0"/>
              <w:bottom w:val="single" w:color="7E7E7E" w:themeColor="text1" w:themeTint="80" w:sz="4" w:space="0"/>
            </w:tcBorders>
            <w:noWrap/>
          </w:tcPr>
          <w:p>
            <w:pPr>
              <w:widowControl/>
              <w:spacing w:line="240" w:lineRule="auto"/>
              <w:ind w:firstLine="0" w:firstLineChars="0"/>
              <w:jc w:val="center"/>
              <w:rPr>
                <w:rFonts w:ascii="仿宋_GB2312"/>
              </w:rPr>
            </w:pPr>
            <w:r>
              <w:rPr>
                <w:rFonts w:ascii="仿宋_GB2312"/>
              </w:rPr>
              <w:t>67912</w:t>
            </w:r>
          </w:p>
        </w:tc>
        <w:tc>
          <w:tcPr>
            <w:tcW w:w="1280" w:type="pct"/>
            <w:tcBorders>
              <w:top w:val="single" w:color="7E7E7E" w:themeColor="text1" w:themeTint="80" w:sz="4" w:space="0"/>
              <w:bottom w:val="single" w:color="7E7E7E" w:themeColor="text1" w:themeTint="80" w:sz="4" w:space="0"/>
            </w:tcBorders>
            <w:noWrap/>
          </w:tcPr>
          <w:p>
            <w:pPr>
              <w:widowControl/>
              <w:spacing w:line="240" w:lineRule="auto"/>
              <w:ind w:firstLine="0" w:firstLineChars="0"/>
              <w:jc w:val="center"/>
              <w:rPr>
                <w:rFonts w:ascii="仿宋_GB2312"/>
              </w:rPr>
            </w:pPr>
            <w:r>
              <w:rPr>
                <w:rFonts w:ascii="仿宋_GB2312"/>
              </w:rPr>
              <w:t>12.86%</w:t>
            </w:r>
          </w:p>
        </w:tc>
        <w:tc>
          <w:tcPr>
            <w:tcW w:w="1330" w:type="pct"/>
            <w:tcBorders>
              <w:top w:val="single" w:color="7E7E7E" w:themeColor="text1" w:themeTint="80" w:sz="4" w:space="0"/>
              <w:bottom w:val="single" w:color="7E7E7E" w:themeColor="text1" w:themeTint="80" w:sz="4" w:space="0"/>
            </w:tcBorders>
            <w:noWrap/>
          </w:tcPr>
          <w:p>
            <w:pPr>
              <w:widowControl/>
              <w:spacing w:line="240" w:lineRule="auto"/>
              <w:ind w:firstLine="0" w:firstLineChars="0"/>
              <w:jc w:val="center"/>
              <w:rPr>
                <w:rFonts w:ascii="仿宋_GB2312"/>
              </w:rPr>
            </w:pPr>
            <w:r>
              <w:rPr>
                <w:rFonts w:hint="eastAsia" w:ascii="仿宋_GB2312"/>
              </w:rPr>
              <w:t>43</w:t>
            </w:r>
            <w:r>
              <w:rPr>
                <w:rFonts w:ascii="仿宋_GB2312"/>
              </w:rPr>
              <w:t>.</w:t>
            </w:r>
            <w:r>
              <w:rPr>
                <w:rFonts w:hint="eastAsia" w:ascii="仿宋_GB2312"/>
              </w:rPr>
              <w:t>48</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300" w:hRule="atLeast"/>
        </w:trPr>
        <w:tc>
          <w:tcPr>
            <w:tcW w:w="1109" w:type="pct"/>
            <w:noWrap/>
          </w:tcPr>
          <w:p>
            <w:pPr>
              <w:widowControl/>
              <w:spacing w:line="240" w:lineRule="auto"/>
              <w:ind w:firstLine="0" w:firstLineChars="0"/>
              <w:jc w:val="center"/>
              <w:rPr>
                <w:rFonts w:ascii="仿宋_GB2312"/>
                <w:b w:val="0"/>
                <w:bCs/>
              </w:rPr>
            </w:pPr>
            <w:r>
              <w:rPr>
                <w:rFonts w:hint="eastAsia" w:ascii="仿宋_GB2312"/>
                <w:b/>
                <w:bCs/>
              </w:rPr>
              <w:t>桔林</w:t>
            </w:r>
          </w:p>
        </w:tc>
        <w:tc>
          <w:tcPr>
            <w:tcW w:w="1280" w:type="pct"/>
            <w:noWrap/>
          </w:tcPr>
          <w:p>
            <w:pPr>
              <w:widowControl/>
              <w:spacing w:line="240" w:lineRule="auto"/>
              <w:ind w:firstLine="0" w:firstLineChars="0"/>
              <w:jc w:val="center"/>
              <w:rPr>
                <w:rFonts w:ascii="仿宋_GB2312"/>
              </w:rPr>
            </w:pPr>
            <w:r>
              <w:rPr>
                <w:rFonts w:ascii="仿宋_GB2312"/>
              </w:rPr>
              <w:t>51687</w:t>
            </w:r>
          </w:p>
        </w:tc>
        <w:tc>
          <w:tcPr>
            <w:tcW w:w="1280" w:type="pct"/>
            <w:noWrap/>
          </w:tcPr>
          <w:p>
            <w:pPr>
              <w:widowControl/>
              <w:spacing w:line="240" w:lineRule="auto"/>
              <w:ind w:firstLine="0" w:firstLineChars="0"/>
              <w:jc w:val="center"/>
              <w:rPr>
                <w:rFonts w:ascii="仿宋_GB2312"/>
              </w:rPr>
            </w:pPr>
            <w:r>
              <w:rPr>
                <w:rFonts w:ascii="仿宋_GB2312"/>
              </w:rPr>
              <w:t>9.78%</w:t>
            </w:r>
          </w:p>
        </w:tc>
        <w:tc>
          <w:tcPr>
            <w:tcW w:w="1330" w:type="pct"/>
            <w:noWrap/>
          </w:tcPr>
          <w:p>
            <w:pPr>
              <w:widowControl/>
              <w:spacing w:line="240" w:lineRule="auto"/>
              <w:ind w:firstLine="0" w:firstLineChars="0"/>
              <w:jc w:val="center"/>
              <w:rPr>
                <w:rFonts w:ascii="仿宋_GB2312"/>
              </w:rPr>
            </w:pPr>
            <w:r>
              <w:rPr>
                <w:rFonts w:hint="eastAsia" w:ascii="仿宋_GB2312"/>
              </w:rPr>
              <w:t>53</w:t>
            </w:r>
            <w:r>
              <w:rPr>
                <w:rFonts w:ascii="仿宋_GB2312"/>
              </w:rPr>
              <w:t>.</w:t>
            </w:r>
            <w:r>
              <w:rPr>
                <w:rFonts w:hint="eastAsia" w:ascii="仿宋_GB2312"/>
              </w:rPr>
              <w:t>26</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300" w:hRule="atLeast"/>
        </w:trPr>
        <w:tc>
          <w:tcPr>
            <w:tcW w:w="1109" w:type="pct"/>
            <w:tcBorders>
              <w:top w:val="single" w:color="7E7E7E" w:themeColor="text1" w:themeTint="80" w:sz="4" w:space="0"/>
              <w:bottom w:val="single" w:color="7E7E7E" w:themeColor="text1" w:themeTint="80" w:sz="4" w:space="0"/>
            </w:tcBorders>
            <w:noWrap/>
          </w:tcPr>
          <w:p>
            <w:pPr>
              <w:widowControl/>
              <w:spacing w:line="240" w:lineRule="auto"/>
              <w:ind w:firstLine="0" w:firstLineChars="0"/>
              <w:jc w:val="center"/>
              <w:rPr>
                <w:rFonts w:ascii="仿宋_GB2312"/>
                <w:b w:val="0"/>
                <w:bCs/>
              </w:rPr>
            </w:pPr>
            <w:r>
              <w:rPr>
                <w:rFonts w:hint="eastAsia" w:ascii="仿宋_GB2312"/>
                <w:b/>
                <w:bCs/>
              </w:rPr>
              <w:t>云龙</w:t>
            </w:r>
          </w:p>
        </w:tc>
        <w:tc>
          <w:tcPr>
            <w:tcW w:w="1280" w:type="pct"/>
            <w:tcBorders>
              <w:top w:val="single" w:color="7E7E7E" w:themeColor="text1" w:themeTint="80" w:sz="4" w:space="0"/>
              <w:bottom w:val="single" w:color="7E7E7E" w:themeColor="text1" w:themeTint="80" w:sz="4" w:space="0"/>
            </w:tcBorders>
            <w:noWrap/>
          </w:tcPr>
          <w:p>
            <w:pPr>
              <w:widowControl/>
              <w:spacing w:line="240" w:lineRule="auto"/>
              <w:ind w:firstLine="0" w:firstLineChars="0"/>
              <w:jc w:val="center"/>
              <w:rPr>
                <w:rFonts w:ascii="仿宋_GB2312"/>
              </w:rPr>
            </w:pPr>
            <w:r>
              <w:rPr>
                <w:rFonts w:ascii="仿宋_GB2312"/>
              </w:rPr>
              <w:t>51350</w:t>
            </w:r>
          </w:p>
        </w:tc>
        <w:tc>
          <w:tcPr>
            <w:tcW w:w="1280" w:type="pct"/>
            <w:tcBorders>
              <w:top w:val="single" w:color="7E7E7E" w:themeColor="text1" w:themeTint="80" w:sz="4" w:space="0"/>
              <w:bottom w:val="single" w:color="7E7E7E" w:themeColor="text1" w:themeTint="80" w:sz="4" w:space="0"/>
            </w:tcBorders>
            <w:noWrap/>
          </w:tcPr>
          <w:p>
            <w:pPr>
              <w:widowControl/>
              <w:spacing w:line="240" w:lineRule="auto"/>
              <w:ind w:firstLine="0" w:firstLineChars="0"/>
              <w:jc w:val="center"/>
              <w:rPr>
                <w:rFonts w:ascii="仿宋_GB2312"/>
              </w:rPr>
            </w:pPr>
            <w:r>
              <w:rPr>
                <w:rFonts w:ascii="仿宋_GB2312"/>
              </w:rPr>
              <w:t>9.72%</w:t>
            </w:r>
          </w:p>
        </w:tc>
        <w:tc>
          <w:tcPr>
            <w:tcW w:w="1330" w:type="pct"/>
            <w:tcBorders>
              <w:top w:val="single" w:color="7E7E7E" w:themeColor="text1" w:themeTint="80" w:sz="4" w:space="0"/>
              <w:bottom w:val="single" w:color="7E7E7E" w:themeColor="text1" w:themeTint="80" w:sz="4" w:space="0"/>
            </w:tcBorders>
            <w:noWrap/>
          </w:tcPr>
          <w:p>
            <w:pPr>
              <w:widowControl/>
              <w:spacing w:line="240" w:lineRule="auto"/>
              <w:ind w:firstLine="0" w:firstLineChars="0"/>
              <w:jc w:val="center"/>
              <w:rPr>
                <w:rFonts w:ascii="仿宋_GB2312"/>
              </w:rPr>
            </w:pPr>
            <w:r>
              <w:rPr>
                <w:rFonts w:ascii="仿宋_GB2312"/>
              </w:rPr>
              <w:t>6</w:t>
            </w:r>
            <w:r>
              <w:rPr>
                <w:rFonts w:hint="eastAsia" w:ascii="仿宋_GB2312"/>
              </w:rPr>
              <w:t>2</w:t>
            </w:r>
            <w:r>
              <w:rPr>
                <w:rFonts w:ascii="仿宋_GB2312"/>
              </w:rPr>
              <w:t>.</w:t>
            </w:r>
            <w:r>
              <w:rPr>
                <w:rFonts w:hint="eastAsia" w:ascii="仿宋_GB2312"/>
              </w:rPr>
              <w:t>98</w:t>
            </w:r>
          </w:p>
        </w:tc>
      </w:tr>
    </w:tbl>
    <w:p>
      <w:pPr>
        <w:spacing w:before="156" w:beforeLines="50" w:after="156" w:afterLines="50"/>
        <w:ind w:firstLine="0" w:firstLineChars="0"/>
        <w:jc w:val="center"/>
        <w:rPr>
          <w:rFonts w:ascii="仿宋_GB2312"/>
          <w:b/>
          <w:bCs/>
        </w:rPr>
      </w:pPr>
      <w:r>
        <w:rPr>
          <w:rFonts w:ascii="仿宋_GB2312"/>
        </w:rPr>
        <w:tab/>
      </w:r>
      <w:r>
        <w:rPr>
          <w:rFonts w:hint="eastAsia" w:ascii="仿宋_GB2312"/>
          <w:b/>
          <w:bCs/>
        </w:rPr>
        <w:t>表6 畜禽生产关键指标年度对比</w:t>
      </w:r>
    </w:p>
    <w:tbl>
      <w:tblPr>
        <w:tblStyle w:val="67"/>
        <w:tblW w:w="5000" w:type="pct"/>
        <w:tblInd w:w="0" w:type="dxa"/>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Layout w:type="autofit"/>
        <w:tblCellMar>
          <w:top w:w="0" w:type="dxa"/>
          <w:left w:w="108" w:type="dxa"/>
          <w:bottom w:w="0" w:type="dxa"/>
          <w:right w:w="108" w:type="dxa"/>
        </w:tblCellMar>
      </w:tblPr>
      <w:tblGrid>
        <w:gridCol w:w="2124"/>
        <w:gridCol w:w="1227"/>
        <w:gridCol w:w="1227"/>
        <w:gridCol w:w="1227"/>
        <w:gridCol w:w="1176"/>
        <w:gridCol w:w="1541"/>
      </w:tblGrid>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397" w:hRule="atLeast"/>
        </w:trPr>
        <w:tc>
          <w:tcPr>
            <w:tcW w:w="1246" w:type="pct"/>
            <w:tcBorders>
              <w:bottom w:val="single" w:color="7E7E7E" w:themeColor="text1" w:themeTint="80" w:sz="4" w:space="0"/>
              <w:insideH w:val="single" w:sz="4" w:space="0"/>
            </w:tcBorders>
            <w:vAlign w:val="center"/>
          </w:tcPr>
          <w:p>
            <w:pPr>
              <w:pStyle w:val="49"/>
              <w:adjustRightInd w:val="0"/>
              <w:snapToGrid w:val="0"/>
              <w:spacing w:line="240" w:lineRule="auto"/>
              <w:jc w:val="center"/>
              <w:rPr>
                <w:rFonts w:ascii="仿宋_GB2312"/>
                <w:b/>
                <w:bCs/>
                <w:sz w:val="28"/>
                <w:szCs w:val="28"/>
              </w:rPr>
            </w:pPr>
            <w:r>
              <w:rPr>
                <w:rFonts w:hint="eastAsia" w:ascii="仿宋_GB2312"/>
                <w:b/>
                <w:bCs/>
                <w:sz w:val="28"/>
                <w:szCs w:val="28"/>
              </w:rPr>
              <w:t>主要指标</w:t>
            </w:r>
          </w:p>
        </w:tc>
        <w:tc>
          <w:tcPr>
            <w:tcW w:w="720" w:type="pct"/>
            <w:tcBorders>
              <w:bottom w:val="single" w:color="7E7E7E" w:themeColor="text1" w:themeTint="80" w:sz="4" w:space="0"/>
              <w:insideH w:val="single" w:sz="4" w:space="0"/>
            </w:tcBorders>
            <w:vAlign w:val="center"/>
          </w:tcPr>
          <w:p>
            <w:pPr>
              <w:pStyle w:val="49"/>
              <w:adjustRightInd w:val="0"/>
              <w:snapToGrid w:val="0"/>
              <w:spacing w:line="240" w:lineRule="auto"/>
              <w:jc w:val="center"/>
              <w:rPr>
                <w:rFonts w:ascii="仿宋_GB2312"/>
                <w:b w:val="0"/>
                <w:bCs w:val="0"/>
                <w:sz w:val="28"/>
                <w:szCs w:val="28"/>
              </w:rPr>
            </w:pPr>
            <w:r>
              <w:rPr>
                <w:rFonts w:hint="eastAsia" w:ascii="仿宋_GB2312"/>
                <w:b/>
                <w:bCs/>
                <w:sz w:val="28"/>
                <w:szCs w:val="28"/>
              </w:rPr>
              <w:t>2020年</w:t>
            </w:r>
          </w:p>
        </w:tc>
        <w:tc>
          <w:tcPr>
            <w:tcW w:w="720" w:type="pct"/>
            <w:tcBorders>
              <w:bottom w:val="single" w:color="7E7E7E" w:themeColor="text1" w:themeTint="80" w:sz="4" w:space="0"/>
              <w:insideH w:val="single" w:sz="4" w:space="0"/>
            </w:tcBorders>
            <w:vAlign w:val="center"/>
          </w:tcPr>
          <w:p>
            <w:pPr>
              <w:pStyle w:val="49"/>
              <w:adjustRightInd w:val="0"/>
              <w:snapToGrid w:val="0"/>
              <w:spacing w:line="240" w:lineRule="auto"/>
              <w:jc w:val="center"/>
              <w:rPr>
                <w:rFonts w:ascii="仿宋_GB2312"/>
                <w:b/>
                <w:bCs/>
                <w:sz w:val="28"/>
                <w:szCs w:val="28"/>
              </w:rPr>
            </w:pPr>
            <w:r>
              <w:rPr>
                <w:rFonts w:hint="eastAsia" w:ascii="仿宋_GB2312"/>
                <w:b/>
                <w:bCs/>
                <w:sz w:val="28"/>
                <w:szCs w:val="28"/>
              </w:rPr>
              <w:t>2022年</w:t>
            </w:r>
          </w:p>
        </w:tc>
        <w:tc>
          <w:tcPr>
            <w:tcW w:w="720" w:type="pct"/>
            <w:tcBorders>
              <w:bottom w:val="single" w:color="7E7E7E" w:themeColor="text1" w:themeTint="80" w:sz="4" w:space="0"/>
              <w:insideH w:val="single" w:sz="4" w:space="0"/>
            </w:tcBorders>
            <w:vAlign w:val="center"/>
          </w:tcPr>
          <w:p>
            <w:pPr>
              <w:pStyle w:val="49"/>
              <w:adjustRightInd w:val="0"/>
              <w:snapToGrid w:val="0"/>
              <w:spacing w:line="240" w:lineRule="auto"/>
              <w:jc w:val="center"/>
              <w:rPr>
                <w:rFonts w:ascii="仿宋_GB2312"/>
                <w:b/>
                <w:bCs/>
                <w:sz w:val="28"/>
                <w:szCs w:val="28"/>
              </w:rPr>
            </w:pPr>
            <w:r>
              <w:rPr>
                <w:rFonts w:hint="eastAsia" w:ascii="仿宋_GB2312"/>
                <w:b/>
                <w:bCs/>
                <w:sz w:val="28"/>
                <w:szCs w:val="28"/>
              </w:rPr>
              <w:t>2024年</w:t>
            </w:r>
          </w:p>
        </w:tc>
        <w:tc>
          <w:tcPr>
            <w:tcW w:w="690" w:type="pct"/>
            <w:tcBorders>
              <w:bottom w:val="single" w:color="7E7E7E" w:themeColor="text1" w:themeTint="80" w:sz="4" w:space="0"/>
              <w:insideH w:val="single" w:sz="4" w:space="0"/>
            </w:tcBorders>
            <w:vAlign w:val="center"/>
          </w:tcPr>
          <w:p>
            <w:pPr>
              <w:pStyle w:val="49"/>
              <w:adjustRightInd w:val="0"/>
              <w:snapToGrid w:val="0"/>
              <w:spacing w:line="240" w:lineRule="auto"/>
              <w:jc w:val="center"/>
              <w:rPr>
                <w:rFonts w:ascii="仿宋_GB2312"/>
                <w:b w:val="0"/>
                <w:bCs w:val="0"/>
                <w:sz w:val="28"/>
                <w:szCs w:val="28"/>
              </w:rPr>
            </w:pPr>
            <w:r>
              <w:rPr>
                <w:rFonts w:hint="eastAsia" w:ascii="仿宋_GB2312"/>
                <w:b/>
                <w:bCs/>
                <w:sz w:val="28"/>
                <w:szCs w:val="28"/>
              </w:rPr>
              <w:t>2025年</w:t>
            </w:r>
          </w:p>
        </w:tc>
        <w:tc>
          <w:tcPr>
            <w:tcW w:w="904" w:type="pct"/>
            <w:tcBorders>
              <w:bottom w:val="single" w:color="7E7E7E" w:themeColor="text1" w:themeTint="80" w:sz="4" w:space="0"/>
              <w:insideH w:val="single" w:sz="4" w:space="0"/>
            </w:tcBorders>
            <w:vAlign w:val="center"/>
          </w:tcPr>
          <w:p>
            <w:pPr>
              <w:pStyle w:val="49"/>
              <w:adjustRightInd w:val="0"/>
              <w:snapToGrid w:val="0"/>
              <w:spacing w:line="240" w:lineRule="auto"/>
              <w:jc w:val="center"/>
              <w:rPr>
                <w:rFonts w:ascii="仿宋_GB2312"/>
                <w:b/>
                <w:bCs/>
                <w:sz w:val="28"/>
                <w:szCs w:val="28"/>
              </w:rPr>
            </w:pPr>
            <w:r>
              <w:rPr>
                <w:rFonts w:hint="eastAsia" w:ascii="仿宋_GB2312"/>
                <w:b/>
                <w:bCs/>
                <w:sz w:val="28"/>
                <w:szCs w:val="28"/>
              </w:rPr>
              <w:t>年均增长率</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567" w:hRule="atLeast"/>
        </w:trPr>
        <w:tc>
          <w:tcPr>
            <w:tcW w:w="1246" w:type="pct"/>
            <w:tcBorders>
              <w:top w:val="single" w:color="7E7E7E" w:themeColor="text1" w:themeTint="80" w:sz="4" w:space="0"/>
              <w:bottom w:val="single" w:color="7E7E7E" w:themeColor="text1" w:themeTint="80" w:sz="4" w:space="0"/>
            </w:tcBorders>
            <w:vAlign w:val="center"/>
          </w:tcPr>
          <w:p>
            <w:pPr>
              <w:pStyle w:val="49"/>
              <w:jc w:val="center"/>
              <w:rPr>
                <w:rFonts w:ascii="仿宋_GB2312"/>
                <w:b/>
                <w:bCs/>
                <w:sz w:val="28"/>
                <w:szCs w:val="28"/>
              </w:rPr>
            </w:pPr>
            <w:r>
              <w:rPr>
                <w:rFonts w:hint="eastAsia" w:ascii="仿宋_GB2312"/>
                <w:b/>
                <w:bCs/>
                <w:sz w:val="28"/>
                <w:szCs w:val="28"/>
              </w:rPr>
              <w:t>生猪存栏（头）</w:t>
            </w:r>
          </w:p>
        </w:tc>
        <w:tc>
          <w:tcPr>
            <w:tcW w:w="720" w:type="pct"/>
            <w:tcBorders>
              <w:top w:val="single" w:color="7E7E7E" w:themeColor="text1" w:themeTint="80" w:sz="4" w:space="0"/>
              <w:bottom w:val="single" w:color="7E7E7E" w:themeColor="text1" w:themeTint="80" w:sz="4" w:space="0"/>
            </w:tcBorders>
            <w:vAlign w:val="center"/>
          </w:tcPr>
          <w:p>
            <w:pPr>
              <w:pStyle w:val="49"/>
              <w:ind w:right="-150" w:rightChars="-50"/>
              <w:jc w:val="center"/>
              <w:rPr>
                <w:rFonts w:ascii="仿宋_GB2312"/>
                <w:sz w:val="28"/>
                <w:szCs w:val="28"/>
              </w:rPr>
            </w:pPr>
            <w:r>
              <w:rPr>
                <w:rFonts w:hint="eastAsia" w:ascii="仿宋_GB2312" w:hAnsi="等线"/>
                <w:sz w:val="28"/>
                <w:szCs w:val="28"/>
              </w:rPr>
              <w:t>80646</w:t>
            </w:r>
          </w:p>
        </w:tc>
        <w:tc>
          <w:tcPr>
            <w:tcW w:w="720" w:type="pct"/>
            <w:tcBorders>
              <w:top w:val="single" w:color="7E7E7E" w:themeColor="text1" w:themeTint="80" w:sz="4" w:space="0"/>
              <w:bottom w:val="single" w:color="7E7E7E" w:themeColor="text1" w:themeTint="80" w:sz="4" w:space="0"/>
            </w:tcBorders>
            <w:vAlign w:val="center"/>
          </w:tcPr>
          <w:p>
            <w:pPr>
              <w:pStyle w:val="49"/>
              <w:ind w:right="-150" w:rightChars="-50"/>
              <w:jc w:val="center"/>
              <w:rPr>
                <w:rFonts w:hint="eastAsia" w:ascii="仿宋_GB2312" w:hAnsi="等线"/>
                <w:sz w:val="28"/>
                <w:szCs w:val="28"/>
              </w:rPr>
            </w:pPr>
            <w:r>
              <w:rPr>
                <w:rFonts w:hint="eastAsia" w:ascii="仿宋_GB2312" w:hAnsi="等线"/>
                <w:sz w:val="28"/>
                <w:szCs w:val="28"/>
              </w:rPr>
              <w:t>82065</w:t>
            </w:r>
          </w:p>
        </w:tc>
        <w:tc>
          <w:tcPr>
            <w:tcW w:w="720" w:type="pct"/>
            <w:tcBorders>
              <w:top w:val="single" w:color="7E7E7E" w:themeColor="text1" w:themeTint="80" w:sz="4" w:space="0"/>
              <w:bottom w:val="single" w:color="7E7E7E" w:themeColor="text1" w:themeTint="80" w:sz="4" w:space="0"/>
            </w:tcBorders>
            <w:vAlign w:val="center"/>
          </w:tcPr>
          <w:p>
            <w:pPr>
              <w:pStyle w:val="49"/>
              <w:ind w:right="-150" w:rightChars="-50"/>
              <w:jc w:val="center"/>
              <w:rPr>
                <w:rFonts w:hint="eastAsia" w:ascii="仿宋_GB2312" w:hAnsi="等线"/>
                <w:sz w:val="28"/>
                <w:szCs w:val="28"/>
              </w:rPr>
            </w:pPr>
            <w:r>
              <w:rPr>
                <w:rFonts w:hint="eastAsia" w:ascii="仿宋_GB2312" w:hAnsi="等线"/>
                <w:sz w:val="28"/>
                <w:szCs w:val="28"/>
              </w:rPr>
              <w:t>80354</w:t>
            </w:r>
          </w:p>
        </w:tc>
        <w:tc>
          <w:tcPr>
            <w:tcW w:w="690" w:type="pct"/>
            <w:tcBorders>
              <w:top w:val="single" w:color="7E7E7E" w:themeColor="text1" w:themeTint="80" w:sz="4" w:space="0"/>
              <w:bottom w:val="single" w:color="7E7E7E" w:themeColor="text1" w:themeTint="80" w:sz="4" w:space="0"/>
            </w:tcBorders>
            <w:vAlign w:val="center"/>
          </w:tcPr>
          <w:p>
            <w:pPr>
              <w:pStyle w:val="49"/>
              <w:ind w:right="-150" w:rightChars="-50"/>
              <w:jc w:val="center"/>
              <w:rPr>
                <w:rFonts w:hint="eastAsia" w:ascii="仿宋_GB2312" w:hAnsi="等线"/>
                <w:sz w:val="28"/>
                <w:szCs w:val="28"/>
              </w:rPr>
            </w:pPr>
            <w:r>
              <w:rPr>
                <w:rFonts w:hint="eastAsia" w:ascii="仿宋_GB2312" w:hAnsi="等线"/>
                <w:sz w:val="28"/>
                <w:szCs w:val="28"/>
              </w:rPr>
              <w:t>79232</w:t>
            </w:r>
          </w:p>
        </w:tc>
        <w:tc>
          <w:tcPr>
            <w:tcW w:w="904" w:type="pct"/>
            <w:tcBorders>
              <w:top w:val="single" w:color="7E7E7E" w:themeColor="text1" w:themeTint="80" w:sz="4" w:space="0"/>
              <w:bottom w:val="single" w:color="7E7E7E" w:themeColor="text1" w:themeTint="80" w:sz="4" w:space="0"/>
            </w:tcBorders>
            <w:vAlign w:val="center"/>
          </w:tcPr>
          <w:p>
            <w:pPr>
              <w:pStyle w:val="49"/>
              <w:ind w:right="-150" w:rightChars="-50"/>
              <w:jc w:val="center"/>
              <w:rPr>
                <w:rFonts w:hint="eastAsia" w:ascii="仿宋_GB2312" w:hAnsi="等线"/>
                <w:sz w:val="28"/>
                <w:szCs w:val="28"/>
              </w:rPr>
            </w:pPr>
            <w:r>
              <w:rPr>
                <w:rFonts w:ascii="仿宋_GB2312" w:hAnsi="等线"/>
                <w:sz w:val="28"/>
                <w:szCs w:val="28"/>
              </w:rPr>
              <w:t>-0.35%</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567" w:hRule="atLeast"/>
        </w:trPr>
        <w:tc>
          <w:tcPr>
            <w:tcW w:w="1246" w:type="pct"/>
            <w:vAlign w:val="center"/>
          </w:tcPr>
          <w:p>
            <w:pPr>
              <w:pStyle w:val="49"/>
              <w:jc w:val="center"/>
              <w:rPr>
                <w:rFonts w:ascii="仿宋_GB2312"/>
                <w:b/>
                <w:bCs/>
                <w:sz w:val="28"/>
                <w:szCs w:val="28"/>
              </w:rPr>
            </w:pPr>
            <w:r>
              <w:rPr>
                <w:rFonts w:hint="eastAsia" w:ascii="仿宋_GB2312"/>
                <w:b/>
                <w:bCs/>
                <w:sz w:val="28"/>
                <w:szCs w:val="28"/>
              </w:rPr>
              <w:t>能繁母猪存栏（头）</w:t>
            </w:r>
          </w:p>
        </w:tc>
        <w:tc>
          <w:tcPr>
            <w:tcW w:w="720" w:type="pct"/>
            <w:vAlign w:val="center"/>
          </w:tcPr>
          <w:p>
            <w:pPr>
              <w:pStyle w:val="49"/>
              <w:ind w:right="-150" w:rightChars="-50"/>
              <w:jc w:val="center"/>
              <w:rPr>
                <w:rFonts w:hint="eastAsia" w:ascii="仿宋_GB2312" w:hAnsi="等线"/>
                <w:sz w:val="28"/>
                <w:szCs w:val="28"/>
              </w:rPr>
            </w:pPr>
            <w:r>
              <w:rPr>
                <w:rFonts w:ascii="仿宋_GB2312" w:hAnsi="等线"/>
                <w:sz w:val="28"/>
                <w:szCs w:val="28"/>
              </w:rPr>
              <w:t>9163</w:t>
            </w:r>
          </w:p>
        </w:tc>
        <w:tc>
          <w:tcPr>
            <w:tcW w:w="720" w:type="pct"/>
            <w:vAlign w:val="center"/>
          </w:tcPr>
          <w:p>
            <w:pPr>
              <w:pStyle w:val="49"/>
              <w:ind w:right="-150" w:rightChars="-50"/>
              <w:jc w:val="center"/>
              <w:rPr>
                <w:rFonts w:hint="eastAsia" w:ascii="仿宋_GB2312" w:hAnsi="等线"/>
                <w:sz w:val="28"/>
                <w:szCs w:val="28"/>
              </w:rPr>
            </w:pPr>
            <w:r>
              <w:rPr>
                <w:rFonts w:ascii="仿宋_GB2312" w:hAnsi="等线"/>
                <w:sz w:val="28"/>
                <w:szCs w:val="28"/>
              </w:rPr>
              <w:t>9139</w:t>
            </w:r>
          </w:p>
        </w:tc>
        <w:tc>
          <w:tcPr>
            <w:tcW w:w="720" w:type="pct"/>
            <w:vAlign w:val="center"/>
          </w:tcPr>
          <w:p>
            <w:pPr>
              <w:pStyle w:val="49"/>
              <w:ind w:right="-150" w:rightChars="-50"/>
              <w:jc w:val="center"/>
              <w:rPr>
                <w:rFonts w:hint="eastAsia" w:ascii="仿宋_GB2312" w:hAnsi="等线"/>
                <w:sz w:val="28"/>
                <w:szCs w:val="28"/>
              </w:rPr>
            </w:pPr>
            <w:r>
              <w:rPr>
                <w:rFonts w:ascii="仿宋_GB2312" w:hAnsi="等线"/>
                <w:sz w:val="28"/>
                <w:szCs w:val="28"/>
              </w:rPr>
              <w:t>8633</w:t>
            </w:r>
          </w:p>
        </w:tc>
        <w:tc>
          <w:tcPr>
            <w:tcW w:w="690" w:type="pct"/>
            <w:vAlign w:val="center"/>
          </w:tcPr>
          <w:p>
            <w:pPr>
              <w:pStyle w:val="49"/>
              <w:ind w:right="-150" w:rightChars="-50"/>
              <w:jc w:val="center"/>
              <w:rPr>
                <w:rFonts w:hint="eastAsia" w:ascii="仿宋_GB2312" w:hAnsi="等线"/>
                <w:sz w:val="28"/>
                <w:szCs w:val="28"/>
              </w:rPr>
            </w:pPr>
            <w:r>
              <w:rPr>
                <w:rFonts w:ascii="仿宋_GB2312" w:hAnsi="等线"/>
                <w:sz w:val="28"/>
                <w:szCs w:val="28"/>
              </w:rPr>
              <w:t>8160</w:t>
            </w:r>
          </w:p>
        </w:tc>
        <w:tc>
          <w:tcPr>
            <w:tcW w:w="904" w:type="pct"/>
            <w:vAlign w:val="center"/>
          </w:tcPr>
          <w:p>
            <w:pPr>
              <w:pStyle w:val="49"/>
              <w:ind w:right="-150" w:rightChars="-50"/>
              <w:jc w:val="center"/>
              <w:rPr>
                <w:rFonts w:hint="eastAsia" w:ascii="仿宋_GB2312" w:hAnsi="等线"/>
                <w:sz w:val="28"/>
                <w:szCs w:val="28"/>
              </w:rPr>
            </w:pPr>
            <w:r>
              <w:rPr>
                <w:rFonts w:ascii="仿宋_GB2312" w:hAnsi="等线"/>
                <w:sz w:val="28"/>
                <w:szCs w:val="28"/>
              </w:rPr>
              <w:t>-2.29%</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567" w:hRule="atLeast"/>
        </w:trPr>
        <w:tc>
          <w:tcPr>
            <w:tcW w:w="1246" w:type="pct"/>
            <w:tcBorders>
              <w:top w:val="single" w:color="7E7E7E" w:themeColor="text1" w:themeTint="80" w:sz="4" w:space="0"/>
              <w:bottom w:val="single" w:color="7E7E7E" w:themeColor="text1" w:themeTint="80" w:sz="4" w:space="0"/>
            </w:tcBorders>
            <w:vAlign w:val="center"/>
          </w:tcPr>
          <w:p>
            <w:pPr>
              <w:pStyle w:val="49"/>
              <w:jc w:val="center"/>
              <w:rPr>
                <w:rFonts w:ascii="仿宋_GB2312"/>
                <w:b/>
                <w:bCs/>
                <w:sz w:val="28"/>
                <w:szCs w:val="28"/>
              </w:rPr>
            </w:pPr>
            <w:r>
              <w:rPr>
                <w:rFonts w:hint="eastAsia" w:ascii="仿宋_GB2312"/>
                <w:b/>
                <w:bCs/>
                <w:sz w:val="28"/>
                <w:szCs w:val="28"/>
              </w:rPr>
              <w:t>鸭总存栏（</w:t>
            </w:r>
            <w:r>
              <w:rPr>
                <w:rFonts w:ascii="仿宋_GB2312"/>
                <w:b/>
                <w:bCs/>
                <w:sz w:val="28"/>
                <w:szCs w:val="28"/>
              </w:rPr>
              <w:t>羽</w:t>
            </w:r>
            <w:r>
              <w:rPr>
                <w:rFonts w:hint="eastAsia" w:ascii="仿宋_GB2312"/>
                <w:b/>
                <w:bCs/>
                <w:sz w:val="28"/>
                <w:szCs w:val="28"/>
              </w:rPr>
              <w:t>）</w:t>
            </w:r>
          </w:p>
        </w:tc>
        <w:tc>
          <w:tcPr>
            <w:tcW w:w="720" w:type="pct"/>
            <w:tcBorders>
              <w:top w:val="single" w:color="7E7E7E" w:themeColor="text1" w:themeTint="80" w:sz="4" w:space="0"/>
              <w:bottom w:val="single" w:color="7E7E7E" w:themeColor="text1" w:themeTint="80" w:sz="4" w:space="0"/>
            </w:tcBorders>
            <w:vAlign w:val="center"/>
          </w:tcPr>
          <w:p>
            <w:pPr>
              <w:pStyle w:val="49"/>
              <w:ind w:right="-150" w:rightChars="-50"/>
              <w:jc w:val="center"/>
              <w:rPr>
                <w:rFonts w:hint="eastAsia" w:ascii="仿宋_GB2312" w:hAnsi="等线"/>
                <w:sz w:val="28"/>
                <w:szCs w:val="28"/>
              </w:rPr>
            </w:pPr>
            <w:r>
              <w:rPr>
                <w:rFonts w:ascii="仿宋_GB2312" w:hAnsi="等线"/>
                <w:sz w:val="28"/>
                <w:szCs w:val="28"/>
              </w:rPr>
              <w:t>560087</w:t>
            </w:r>
          </w:p>
        </w:tc>
        <w:tc>
          <w:tcPr>
            <w:tcW w:w="720" w:type="pct"/>
            <w:tcBorders>
              <w:top w:val="single" w:color="7E7E7E" w:themeColor="text1" w:themeTint="80" w:sz="4" w:space="0"/>
              <w:bottom w:val="single" w:color="7E7E7E" w:themeColor="text1" w:themeTint="80" w:sz="4" w:space="0"/>
            </w:tcBorders>
            <w:vAlign w:val="center"/>
          </w:tcPr>
          <w:p>
            <w:pPr>
              <w:pStyle w:val="49"/>
              <w:ind w:right="-150" w:rightChars="-50"/>
              <w:jc w:val="center"/>
              <w:rPr>
                <w:rFonts w:hint="eastAsia" w:ascii="仿宋_GB2312" w:hAnsi="等线"/>
                <w:sz w:val="28"/>
                <w:szCs w:val="28"/>
              </w:rPr>
            </w:pPr>
            <w:r>
              <w:rPr>
                <w:rFonts w:ascii="仿宋_GB2312" w:hAnsi="等线"/>
                <w:sz w:val="28"/>
                <w:szCs w:val="28"/>
              </w:rPr>
              <w:t>455733</w:t>
            </w:r>
          </w:p>
        </w:tc>
        <w:tc>
          <w:tcPr>
            <w:tcW w:w="720" w:type="pct"/>
            <w:tcBorders>
              <w:top w:val="single" w:color="7E7E7E" w:themeColor="text1" w:themeTint="80" w:sz="4" w:space="0"/>
              <w:bottom w:val="single" w:color="7E7E7E" w:themeColor="text1" w:themeTint="80" w:sz="4" w:space="0"/>
            </w:tcBorders>
            <w:vAlign w:val="center"/>
          </w:tcPr>
          <w:p>
            <w:pPr>
              <w:pStyle w:val="49"/>
              <w:ind w:right="-150" w:rightChars="-50"/>
              <w:jc w:val="center"/>
              <w:rPr>
                <w:rFonts w:hint="eastAsia" w:ascii="仿宋_GB2312" w:hAnsi="等线"/>
                <w:sz w:val="28"/>
                <w:szCs w:val="28"/>
              </w:rPr>
            </w:pPr>
            <w:r>
              <w:rPr>
                <w:rFonts w:ascii="仿宋_GB2312" w:hAnsi="等线"/>
                <w:sz w:val="28"/>
                <w:szCs w:val="28"/>
              </w:rPr>
              <w:t>511542</w:t>
            </w:r>
          </w:p>
        </w:tc>
        <w:tc>
          <w:tcPr>
            <w:tcW w:w="690" w:type="pct"/>
            <w:tcBorders>
              <w:top w:val="single" w:color="7E7E7E" w:themeColor="text1" w:themeTint="80" w:sz="4" w:space="0"/>
              <w:bottom w:val="single" w:color="7E7E7E" w:themeColor="text1" w:themeTint="80" w:sz="4" w:space="0"/>
            </w:tcBorders>
            <w:vAlign w:val="center"/>
          </w:tcPr>
          <w:p>
            <w:pPr>
              <w:pStyle w:val="49"/>
              <w:ind w:right="-150" w:rightChars="-50"/>
              <w:jc w:val="center"/>
              <w:rPr>
                <w:rFonts w:hint="eastAsia" w:ascii="仿宋_GB2312" w:hAnsi="等线"/>
                <w:sz w:val="28"/>
                <w:szCs w:val="28"/>
              </w:rPr>
            </w:pPr>
            <w:r>
              <w:rPr>
                <w:rFonts w:ascii="仿宋_GB2312" w:hAnsi="等线"/>
                <w:sz w:val="28"/>
                <w:szCs w:val="28"/>
              </w:rPr>
              <w:t>528229</w:t>
            </w:r>
          </w:p>
        </w:tc>
        <w:tc>
          <w:tcPr>
            <w:tcW w:w="904" w:type="pct"/>
            <w:tcBorders>
              <w:top w:val="single" w:color="7E7E7E" w:themeColor="text1" w:themeTint="80" w:sz="4" w:space="0"/>
              <w:bottom w:val="single" w:color="7E7E7E" w:themeColor="text1" w:themeTint="80" w:sz="4" w:space="0"/>
            </w:tcBorders>
            <w:vAlign w:val="center"/>
          </w:tcPr>
          <w:p>
            <w:pPr>
              <w:pStyle w:val="49"/>
              <w:ind w:right="-150" w:rightChars="-50"/>
              <w:jc w:val="center"/>
              <w:rPr>
                <w:rFonts w:hint="eastAsia" w:ascii="仿宋_GB2312" w:hAnsi="等线"/>
                <w:sz w:val="28"/>
                <w:szCs w:val="28"/>
              </w:rPr>
            </w:pPr>
            <w:r>
              <w:rPr>
                <w:rFonts w:ascii="仿宋_GB2312" w:hAnsi="等线"/>
                <w:sz w:val="28"/>
                <w:szCs w:val="28"/>
              </w:rPr>
              <w:t>-1.16%</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567" w:hRule="atLeast"/>
        </w:trPr>
        <w:tc>
          <w:tcPr>
            <w:tcW w:w="1246" w:type="pct"/>
            <w:vAlign w:val="center"/>
          </w:tcPr>
          <w:p>
            <w:pPr>
              <w:pStyle w:val="49"/>
              <w:jc w:val="center"/>
              <w:rPr>
                <w:rFonts w:ascii="仿宋_GB2312"/>
                <w:b/>
                <w:bCs/>
                <w:sz w:val="28"/>
                <w:szCs w:val="28"/>
              </w:rPr>
            </w:pPr>
            <w:r>
              <w:rPr>
                <w:rFonts w:hint="eastAsia" w:ascii="仿宋_GB2312"/>
                <w:b/>
                <w:bCs/>
                <w:sz w:val="28"/>
                <w:szCs w:val="28"/>
              </w:rPr>
              <w:t>专用型蛋鸡存栏（</w:t>
            </w:r>
            <w:r>
              <w:rPr>
                <w:rFonts w:ascii="仿宋_GB2312"/>
                <w:b/>
                <w:bCs/>
                <w:sz w:val="28"/>
                <w:szCs w:val="28"/>
              </w:rPr>
              <w:t>羽</w:t>
            </w:r>
            <w:r>
              <w:rPr>
                <w:rFonts w:hint="eastAsia" w:ascii="仿宋_GB2312"/>
                <w:b/>
                <w:bCs/>
                <w:sz w:val="28"/>
                <w:szCs w:val="28"/>
              </w:rPr>
              <w:t>）</w:t>
            </w:r>
          </w:p>
        </w:tc>
        <w:tc>
          <w:tcPr>
            <w:tcW w:w="720" w:type="pct"/>
            <w:vAlign w:val="center"/>
          </w:tcPr>
          <w:p>
            <w:pPr>
              <w:pStyle w:val="49"/>
              <w:ind w:right="-150" w:rightChars="-50"/>
              <w:jc w:val="center"/>
              <w:rPr>
                <w:rFonts w:hint="eastAsia" w:ascii="仿宋_GB2312" w:hAnsi="等线"/>
                <w:sz w:val="28"/>
                <w:szCs w:val="28"/>
              </w:rPr>
            </w:pPr>
            <w:r>
              <w:rPr>
                <w:rFonts w:ascii="仿宋_GB2312" w:hAnsi="等线"/>
                <w:sz w:val="28"/>
                <w:szCs w:val="28"/>
              </w:rPr>
              <w:t>877719</w:t>
            </w:r>
          </w:p>
        </w:tc>
        <w:tc>
          <w:tcPr>
            <w:tcW w:w="720" w:type="pct"/>
            <w:vAlign w:val="center"/>
          </w:tcPr>
          <w:p>
            <w:pPr>
              <w:pStyle w:val="49"/>
              <w:ind w:right="-150" w:rightChars="-50"/>
              <w:jc w:val="center"/>
              <w:rPr>
                <w:rFonts w:hint="eastAsia" w:ascii="仿宋_GB2312" w:hAnsi="等线"/>
                <w:sz w:val="28"/>
                <w:szCs w:val="28"/>
              </w:rPr>
            </w:pPr>
            <w:r>
              <w:rPr>
                <w:rFonts w:ascii="仿宋_GB2312" w:hAnsi="等线"/>
                <w:sz w:val="28"/>
                <w:szCs w:val="28"/>
              </w:rPr>
              <w:t>1217308</w:t>
            </w:r>
          </w:p>
        </w:tc>
        <w:tc>
          <w:tcPr>
            <w:tcW w:w="720" w:type="pct"/>
            <w:vAlign w:val="center"/>
          </w:tcPr>
          <w:p>
            <w:pPr>
              <w:pStyle w:val="49"/>
              <w:ind w:right="-150" w:rightChars="-50"/>
              <w:jc w:val="center"/>
              <w:rPr>
                <w:rFonts w:hint="eastAsia" w:ascii="仿宋_GB2312" w:hAnsi="等线"/>
                <w:sz w:val="28"/>
                <w:szCs w:val="28"/>
              </w:rPr>
            </w:pPr>
            <w:r>
              <w:rPr>
                <w:rFonts w:ascii="仿宋_GB2312" w:hAnsi="等线"/>
                <w:sz w:val="28"/>
                <w:szCs w:val="28"/>
              </w:rPr>
              <w:t>1307323</w:t>
            </w:r>
          </w:p>
        </w:tc>
        <w:tc>
          <w:tcPr>
            <w:tcW w:w="690" w:type="pct"/>
            <w:vAlign w:val="center"/>
          </w:tcPr>
          <w:p>
            <w:pPr>
              <w:pStyle w:val="49"/>
              <w:ind w:right="-150" w:rightChars="-50"/>
              <w:jc w:val="center"/>
              <w:rPr>
                <w:rFonts w:hint="eastAsia" w:ascii="仿宋_GB2312" w:hAnsi="等线"/>
                <w:sz w:val="28"/>
                <w:szCs w:val="28"/>
              </w:rPr>
            </w:pPr>
            <w:r>
              <w:rPr>
                <w:rFonts w:ascii="仿宋_GB2312" w:hAnsi="等线"/>
                <w:sz w:val="28"/>
                <w:szCs w:val="28"/>
              </w:rPr>
              <w:t>1345279</w:t>
            </w:r>
          </w:p>
        </w:tc>
        <w:tc>
          <w:tcPr>
            <w:tcW w:w="904" w:type="pct"/>
            <w:vAlign w:val="center"/>
          </w:tcPr>
          <w:p>
            <w:pPr>
              <w:pStyle w:val="49"/>
              <w:ind w:right="-150" w:rightChars="-50"/>
              <w:jc w:val="center"/>
              <w:rPr>
                <w:rFonts w:hint="eastAsia" w:ascii="仿宋_GB2312" w:hAnsi="等线"/>
                <w:sz w:val="28"/>
                <w:szCs w:val="28"/>
              </w:rPr>
            </w:pPr>
            <w:r>
              <w:rPr>
                <w:rFonts w:ascii="仿宋_GB2312" w:hAnsi="等线"/>
                <w:sz w:val="28"/>
                <w:szCs w:val="28"/>
              </w:rPr>
              <w:t>8.92%</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Ex>
        <w:trPr>
          <w:trHeight w:val="567" w:hRule="atLeast"/>
        </w:trPr>
        <w:tc>
          <w:tcPr>
            <w:tcW w:w="1246" w:type="pct"/>
            <w:tcBorders>
              <w:top w:val="single" w:color="7E7E7E" w:themeColor="text1" w:themeTint="80" w:sz="4" w:space="0"/>
              <w:bottom w:val="single" w:color="7E7E7E" w:themeColor="text1" w:themeTint="80" w:sz="4" w:space="0"/>
            </w:tcBorders>
            <w:vAlign w:val="center"/>
          </w:tcPr>
          <w:p>
            <w:pPr>
              <w:pStyle w:val="49"/>
              <w:jc w:val="center"/>
              <w:rPr>
                <w:rFonts w:ascii="仿宋_GB2312"/>
                <w:b/>
                <w:bCs/>
                <w:sz w:val="28"/>
                <w:szCs w:val="28"/>
              </w:rPr>
            </w:pPr>
            <w:r>
              <w:rPr>
                <w:rFonts w:hint="eastAsia" w:ascii="仿宋_GB2312"/>
                <w:b/>
                <w:bCs/>
                <w:sz w:val="28"/>
                <w:szCs w:val="28"/>
              </w:rPr>
              <w:t>家禽总出栏（羽）</w:t>
            </w:r>
          </w:p>
        </w:tc>
        <w:tc>
          <w:tcPr>
            <w:tcW w:w="720" w:type="pct"/>
            <w:tcBorders>
              <w:top w:val="single" w:color="7E7E7E" w:themeColor="text1" w:themeTint="80" w:sz="4" w:space="0"/>
              <w:bottom w:val="single" w:color="7E7E7E" w:themeColor="text1" w:themeTint="80" w:sz="4" w:space="0"/>
            </w:tcBorders>
            <w:vAlign w:val="center"/>
          </w:tcPr>
          <w:p>
            <w:pPr>
              <w:pStyle w:val="49"/>
              <w:ind w:right="-150" w:rightChars="-50"/>
              <w:jc w:val="center"/>
              <w:rPr>
                <w:rFonts w:hint="eastAsia" w:ascii="仿宋_GB2312" w:hAnsi="等线"/>
                <w:sz w:val="28"/>
                <w:szCs w:val="28"/>
              </w:rPr>
            </w:pPr>
            <w:r>
              <w:rPr>
                <w:rFonts w:ascii="仿宋_GB2312" w:hAnsi="等线"/>
                <w:sz w:val="28"/>
                <w:szCs w:val="28"/>
              </w:rPr>
              <w:t>3350109</w:t>
            </w:r>
          </w:p>
        </w:tc>
        <w:tc>
          <w:tcPr>
            <w:tcW w:w="720" w:type="pct"/>
            <w:tcBorders>
              <w:top w:val="single" w:color="7E7E7E" w:themeColor="text1" w:themeTint="80" w:sz="4" w:space="0"/>
              <w:bottom w:val="single" w:color="7E7E7E" w:themeColor="text1" w:themeTint="80" w:sz="4" w:space="0"/>
            </w:tcBorders>
            <w:vAlign w:val="center"/>
          </w:tcPr>
          <w:p>
            <w:pPr>
              <w:pStyle w:val="49"/>
              <w:ind w:right="-150" w:rightChars="-50"/>
              <w:jc w:val="center"/>
              <w:rPr>
                <w:rFonts w:hint="eastAsia" w:ascii="仿宋_GB2312" w:hAnsi="等线"/>
                <w:sz w:val="28"/>
                <w:szCs w:val="28"/>
              </w:rPr>
            </w:pPr>
            <w:r>
              <w:rPr>
                <w:rFonts w:ascii="仿宋_GB2312" w:hAnsi="等线"/>
                <w:sz w:val="28"/>
                <w:szCs w:val="28"/>
              </w:rPr>
              <w:t>3243847</w:t>
            </w:r>
          </w:p>
        </w:tc>
        <w:tc>
          <w:tcPr>
            <w:tcW w:w="720" w:type="pct"/>
            <w:tcBorders>
              <w:top w:val="single" w:color="7E7E7E" w:themeColor="text1" w:themeTint="80" w:sz="4" w:space="0"/>
              <w:bottom w:val="single" w:color="7E7E7E" w:themeColor="text1" w:themeTint="80" w:sz="4" w:space="0"/>
            </w:tcBorders>
            <w:vAlign w:val="center"/>
          </w:tcPr>
          <w:p>
            <w:pPr>
              <w:pStyle w:val="49"/>
              <w:ind w:right="-150" w:rightChars="-50"/>
              <w:jc w:val="center"/>
              <w:rPr>
                <w:rFonts w:hint="eastAsia" w:ascii="仿宋_GB2312" w:hAnsi="等线"/>
                <w:sz w:val="28"/>
                <w:szCs w:val="28"/>
              </w:rPr>
            </w:pPr>
            <w:r>
              <w:rPr>
                <w:rFonts w:ascii="仿宋_GB2312" w:hAnsi="等线"/>
                <w:sz w:val="28"/>
                <w:szCs w:val="28"/>
              </w:rPr>
              <w:t>3913024</w:t>
            </w:r>
          </w:p>
        </w:tc>
        <w:tc>
          <w:tcPr>
            <w:tcW w:w="690" w:type="pct"/>
            <w:tcBorders>
              <w:top w:val="single" w:color="7E7E7E" w:themeColor="text1" w:themeTint="80" w:sz="4" w:space="0"/>
              <w:bottom w:val="single" w:color="7E7E7E" w:themeColor="text1" w:themeTint="80" w:sz="4" w:space="0"/>
            </w:tcBorders>
            <w:vAlign w:val="center"/>
          </w:tcPr>
          <w:p>
            <w:pPr>
              <w:pStyle w:val="49"/>
              <w:ind w:right="-150" w:rightChars="-50"/>
              <w:jc w:val="center"/>
              <w:rPr>
                <w:rFonts w:hint="eastAsia" w:ascii="仿宋_GB2312" w:hAnsi="等线"/>
                <w:sz w:val="28"/>
                <w:szCs w:val="28"/>
              </w:rPr>
            </w:pPr>
            <w:r>
              <w:rPr>
                <w:rFonts w:ascii="仿宋_GB2312" w:hAnsi="等线"/>
                <w:sz w:val="28"/>
                <w:szCs w:val="28"/>
              </w:rPr>
              <w:t>3058623</w:t>
            </w:r>
          </w:p>
        </w:tc>
        <w:tc>
          <w:tcPr>
            <w:tcW w:w="904" w:type="pct"/>
            <w:tcBorders>
              <w:top w:val="single" w:color="7E7E7E" w:themeColor="text1" w:themeTint="80" w:sz="4" w:space="0"/>
              <w:bottom w:val="single" w:color="7E7E7E" w:themeColor="text1" w:themeTint="80" w:sz="4" w:space="0"/>
            </w:tcBorders>
            <w:vAlign w:val="center"/>
          </w:tcPr>
          <w:p>
            <w:pPr>
              <w:pStyle w:val="49"/>
              <w:ind w:right="-150" w:rightChars="-50"/>
              <w:jc w:val="center"/>
              <w:rPr>
                <w:rFonts w:hint="eastAsia" w:ascii="仿宋_GB2312" w:hAnsi="等线"/>
                <w:sz w:val="28"/>
                <w:szCs w:val="28"/>
              </w:rPr>
            </w:pPr>
            <w:r>
              <w:rPr>
                <w:rFonts w:ascii="仿宋_GB2312" w:hAnsi="等线"/>
                <w:sz w:val="28"/>
                <w:szCs w:val="28"/>
              </w:rPr>
              <w:t>-1.80%</w:t>
            </w:r>
          </w:p>
        </w:tc>
      </w:tr>
    </w:tbl>
    <w:p>
      <w:pPr>
        <w:ind w:firstLine="0" w:firstLineChars="0"/>
        <w:jc w:val="left"/>
        <w:rPr>
          <w:rFonts w:ascii="仿宋_GB2312"/>
          <w:sz w:val="36"/>
          <w:szCs w:val="36"/>
        </w:rPr>
      </w:pPr>
      <w:r>
        <w:rPr>
          <w:rFonts w:hint="eastAsia" w:ascii="仿宋_GB2312"/>
          <w:b/>
          <w:bCs/>
          <w:sz w:val="24"/>
          <w:szCs w:val="24"/>
        </w:rPr>
        <w:t>注</w:t>
      </w:r>
      <w:r>
        <w:rPr>
          <w:rFonts w:hint="eastAsia" w:ascii="仿宋_GB2312"/>
          <w:sz w:val="24"/>
          <w:szCs w:val="24"/>
        </w:rPr>
        <w:t>：数据源自《</w:t>
      </w:r>
      <w:r>
        <w:rPr>
          <w:rFonts w:ascii="仿宋_GB2312"/>
          <w:sz w:val="24"/>
          <w:szCs w:val="24"/>
        </w:rPr>
        <w:t>2021-2025</w:t>
      </w:r>
      <w:r>
        <w:rPr>
          <w:rFonts w:hint="eastAsia" w:ascii="仿宋_GB2312"/>
          <w:sz w:val="24"/>
          <w:szCs w:val="24"/>
        </w:rPr>
        <w:t>闽清县畜牧业生产进度反馈表》</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00"/>
      </w:pPr>
      <w:r>
        <w:separator/>
      </w:r>
    </w:p>
  </w:endnote>
  <w:endnote w:type="continuationSeparator" w:id="1">
    <w:p>
      <w:pPr>
        <w:spacing w:line="240" w:lineRule="auto"/>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libri Light">
    <w:altName w:val="DejaVu Sans"/>
    <w:panose1 w:val="020F0302020204030204"/>
    <w:charset w:val="00"/>
    <w:family w:val="swiss"/>
    <w:pitch w:val="default"/>
    <w:sig w:usb0="00000000" w:usb1="00000000" w:usb2="00000009" w:usb3="00000000" w:csb0="000001FF" w:csb1="00000000"/>
  </w:font>
  <w:font w:name="楷体">
    <w:panose1 w:val="02010609060101010101"/>
    <w:charset w:val="86"/>
    <w:family w:val="modern"/>
    <w:pitch w:val="default"/>
    <w:sig w:usb0="800002BF" w:usb1="38CF7CFA" w:usb2="00000016" w:usb3="00000000" w:csb0="00040001"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Cambria Math">
    <w:altName w:val="DejaVu Math TeX Gyre"/>
    <w:panose1 w:val="02040503050406030204"/>
    <w:charset w:val="00"/>
    <w:family w:val="roman"/>
    <w:pitch w:val="default"/>
    <w:sig w:usb0="00000000" w:usb1="00000000" w:usb2="02000000" w:usb3="00000000" w:csb0="0000019F" w:csb1="00000000"/>
  </w:font>
  <w:font w:name="DejaVu Math TeX Gyre">
    <w:panose1 w:val="02000503000000000000"/>
    <w:charset w:val="00"/>
    <w:family w:val="auto"/>
    <w:pitch w:val="default"/>
    <w:sig w:usb0="A10000EF" w:usb1="4201F9EE" w:usb2="02000000" w:usb3="00000000" w:csb0="60000193" w:csb1="0DD40000"/>
  </w:font>
  <w:font w:name="~">
    <w:altName w:val="C059"/>
    <w:panose1 w:val="00000000000000000000"/>
    <w:charset w:val="00"/>
    <w:family w:val="roman"/>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DFPPOPMix-W5">
    <w:panose1 w:val="040B0500000000000000"/>
    <w:charset w:val="80"/>
    <w:family w:val="auto"/>
    <w:pitch w:val="default"/>
    <w:sig w:usb0="00000001" w:usb1="08070000" w:usb2="00000010" w:usb3="00000000" w:csb0="0002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16"/>
          <w:ind w:firstLine="360"/>
          <w:jc w:val="center"/>
        </w:pPr>
        <w:r>
          <w:fldChar w:fldCharType="begin"/>
        </w:r>
        <w:r>
          <w:instrText xml:space="preserve">PAGE   \* MERGEFORMAT</w:instrText>
        </w:r>
        <w:r>
          <w:fldChar w:fldCharType="separate"/>
        </w:r>
        <w:r>
          <w:rPr>
            <w:lang w:val="zh-CN"/>
          </w:rPr>
          <w:t>27</w:t>
        </w:r>
        <w:r>
          <w:fldChar w:fldCharType="end"/>
        </w:r>
      </w:p>
    </w:sdtContent>
  </w:sdt>
  <w:p>
    <w:pPr>
      <w:pStyle w:val="1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00"/>
      </w:pPr>
      <w:r>
        <w:separator/>
      </w:r>
    </w:p>
  </w:footnote>
  <w:footnote w:type="continuationSeparator" w:id="1">
    <w:p>
      <w:pPr>
        <w:spacing w:line="240" w:lineRule="auto"/>
        <w:ind w:firstLine="60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9562843"/>
    <w:multiLevelType w:val="multilevel"/>
    <w:tmpl w:val="49562843"/>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rPr>
        <w:rFonts w:hint="eastAsia"/>
      </w:rPr>
    </w:lvl>
    <w:lvl w:ilvl="2" w:tentative="0">
      <w:start w:val="1"/>
      <w:numFmt w:val="decimal"/>
      <w:suff w:val="nothing"/>
      <w:lvlText w:val="%3."/>
      <w:lvlJc w:val="left"/>
      <w:pPr>
        <w:ind w:left="1007" w:hanging="440"/>
      </w:pPr>
      <w:rPr>
        <w:rFonts w:hint="eastAsia"/>
        <w:color w:val="000000" w:themeColor="text1"/>
        <w14:textFill>
          <w14:solidFill>
            <w14:schemeClr w14:val="tx1"/>
          </w14:solidFill>
        </w14:textFill>
      </w:rPr>
    </w:lvl>
    <w:lvl w:ilvl="3" w:tentative="0">
      <w:start w:val="1"/>
      <w:numFmt w:val="decimal"/>
      <w:lvlText w:val="%4."/>
      <w:lvlJc w:val="left"/>
      <w:pPr>
        <w:ind w:left="1760" w:hanging="440"/>
      </w:pPr>
      <w:rPr>
        <w:rFonts w:hint="eastAsia"/>
      </w:rPr>
    </w:lvl>
    <w:lvl w:ilvl="4" w:tentative="0">
      <w:start w:val="1"/>
      <w:numFmt w:val="lowerLetter"/>
      <w:lvlText w:val="%5)"/>
      <w:lvlJc w:val="left"/>
      <w:pPr>
        <w:ind w:left="2200" w:hanging="440"/>
      </w:pPr>
      <w:rPr>
        <w:rFonts w:hint="eastAsia"/>
      </w:rPr>
    </w:lvl>
    <w:lvl w:ilvl="5" w:tentative="0">
      <w:start w:val="1"/>
      <w:numFmt w:val="lowerRoman"/>
      <w:lvlText w:val="%6."/>
      <w:lvlJc w:val="right"/>
      <w:pPr>
        <w:ind w:left="2640" w:hanging="440"/>
      </w:pPr>
      <w:rPr>
        <w:rFonts w:hint="eastAsia"/>
      </w:rPr>
    </w:lvl>
    <w:lvl w:ilvl="6" w:tentative="0">
      <w:start w:val="1"/>
      <w:numFmt w:val="decimal"/>
      <w:lvlText w:val="%7."/>
      <w:lvlJc w:val="left"/>
      <w:pPr>
        <w:ind w:left="3080" w:hanging="440"/>
      </w:pPr>
      <w:rPr>
        <w:rFonts w:hint="eastAsia"/>
      </w:rPr>
    </w:lvl>
    <w:lvl w:ilvl="7" w:tentative="0">
      <w:start w:val="1"/>
      <w:numFmt w:val="lowerLetter"/>
      <w:lvlText w:val="%8)"/>
      <w:lvlJc w:val="left"/>
      <w:pPr>
        <w:ind w:left="3520" w:hanging="440"/>
      </w:pPr>
      <w:rPr>
        <w:rFonts w:hint="eastAsia"/>
      </w:rPr>
    </w:lvl>
    <w:lvl w:ilvl="8" w:tentative="0">
      <w:start w:val="1"/>
      <w:numFmt w:val="lowerRoman"/>
      <w:lvlText w:val="%9."/>
      <w:lvlJc w:val="right"/>
      <w:pPr>
        <w:ind w:left="3960" w:hanging="44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1"/>
  <w:bordersDoNotSurroundFooter w:val="1"/>
  <w:documentProtection w:enforcement="0"/>
  <w:defaultTabStop w:val="420"/>
  <w:drawingGridHorizontalSpacing w:val="150"/>
  <w:drawingGridVerticalSpacing w:val="204"/>
  <w:displayHorizontalDrawingGridEvery w:val="2"/>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FF7"/>
    <w:rsid w:val="0000731E"/>
    <w:rsid w:val="000100EC"/>
    <w:rsid w:val="0001411F"/>
    <w:rsid w:val="00016691"/>
    <w:rsid w:val="0001781D"/>
    <w:rsid w:val="000226A9"/>
    <w:rsid w:val="00022FA6"/>
    <w:rsid w:val="000231D0"/>
    <w:rsid w:val="0003276F"/>
    <w:rsid w:val="0003290F"/>
    <w:rsid w:val="00035EC4"/>
    <w:rsid w:val="000404D7"/>
    <w:rsid w:val="000407EF"/>
    <w:rsid w:val="00052904"/>
    <w:rsid w:val="00060637"/>
    <w:rsid w:val="00064081"/>
    <w:rsid w:val="00077076"/>
    <w:rsid w:val="00082B86"/>
    <w:rsid w:val="00085DB1"/>
    <w:rsid w:val="00087815"/>
    <w:rsid w:val="00092022"/>
    <w:rsid w:val="000938E7"/>
    <w:rsid w:val="000964F9"/>
    <w:rsid w:val="000A1078"/>
    <w:rsid w:val="000A62D7"/>
    <w:rsid w:val="000A7D40"/>
    <w:rsid w:val="000C2889"/>
    <w:rsid w:val="000C3386"/>
    <w:rsid w:val="000C7996"/>
    <w:rsid w:val="000D51D3"/>
    <w:rsid w:val="000F0896"/>
    <w:rsid w:val="000F094B"/>
    <w:rsid w:val="000F3A17"/>
    <w:rsid w:val="000F625A"/>
    <w:rsid w:val="00100DA1"/>
    <w:rsid w:val="00101E59"/>
    <w:rsid w:val="001118B8"/>
    <w:rsid w:val="0011228B"/>
    <w:rsid w:val="00112661"/>
    <w:rsid w:val="00116137"/>
    <w:rsid w:val="00122373"/>
    <w:rsid w:val="0012294F"/>
    <w:rsid w:val="00137165"/>
    <w:rsid w:val="00141099"/>
    <w:rsid w:val="001422CF"/>
    <w:rsid w:val="0014477C"/>
    <w:rsid w:val="00147B8D"/>
    <w:rsid w:val="001508C4"/>
    <w:rsid w:val="001747BE"/>
    <w:rsid w:val="001758C8"/>
    <w:rsid w:val="00176591"/>
    <w:rsid w:val="00180469"/>
    <w:rsid w:val="00190700"/>
    <w:rsid w:val="001A2B84"/>
    <w:rsid w:val="001A46D6"/>
    <w:rsid w:val="001B2D36"/>
    <w:rsid w:val="001B6438"/>
    <w:rsid w:val="001B6CE5"/>
    <w:rsid w:val="001C2EE6"/>
    <w:rsid w:val="001D0583"/>
    <w:rsid w:val="001D30E6"/>
    <w:rsid w:val="001D6FA6"/>
    <w:rsid w:val="001E11F8"/>
    <w:rsid w:val="001F06D8"/>
    <w:rsid w:val="001F3C77"/>
    <w:rsid w:val="001F7953"/>
    <w:rsid w:val="00201CF6"/>
    <w:rsid w:val="002030EA"/>
    <w:rsid w:val="0021209E"/>
    <w:rsid w:val="00212CB2"/>
    <w:rsid w:val="00220291"/>
    <w:rsid w:val="00224DB1"/>
    <w:rsid w:val="00225E4C"/>
    <w:rsid w:val="00226795"/>
    <w:rsid w:val="00227099"/>
    <w:rsid w:val="002275CC"/>
    <w:rsid w:val="00232417"/>
    <w:rsid w:val="0023571E"/>
    <w:rsid w:val="00236650"/>
    <w:rsid w:val="002377AC"/>
    <w:rsid w:val="00240B07"/>
    <w:rsid w:val="00241DCE"/>
    <w:rsid w:val="002569B7"/>
    <w:rsid w:val="00257246"/>
    <w:rsid w:val="0025736E"/>
    <w:rsid w:val="002577CC"/>
    <w:rsid w:val="00260868"/>
    <w:rsid w:val="002609B0"/>
    <w:rsid w:val="00263ED4"/>
    <w:rsid w:val="0027755C"/>
    <w:rsid w:val="00290342"/>
    <w:rsid w:val="002909D8"/>
    <w:rsid w:val="00291417"/>
    <w:rsid w:val="002937A6"/>
    <w:rsid w:val="002A3127"/>
    <w:rsid w:val="002B1B8E"/>
    <w:rsid w:val="002B5062"/>
    <w:rsid w:val="002B5252"/>
    <w:rsid w:val="002B542B"/>
    <w:rsid w:val="002B76A0"/>
    <w:rsid w:val="002B7CC0"/>
    <w:rsid w:val="002C0A9C"/>
    <w:rsid w:val="002C53AA"/>
    <w:rsid w:val="002D21DC"/>
    <w:rsid w:val="002D2CA8"/>
    <w:rsid w:val="002D406D"/>
    <w:rsid w:val="002D592C"/>
    <w:rsid w:val="002D7A8D"/>
    <w:rsid w:val="002E37AE"/>
    <w:rsid w:val="002E68CC"/>
    <w:rsid w:val="002E6D44"/>
    <w:rsid w:val="002E731A"/>
    <w:rsid w:val="002F0137"/>
    <w:rsid w:val="002F069A"/>
    <w:rsid w:val="002F2EB1"/>
    <w:rsid w:val="002F4041"/>
    <w:rsid w:val="0030235D"/>
    <w:rsid w:val="00302454"/>
    <w:rsid w:val="00316513"/>
    <w:rsid w:val="0032055F"/>
    <w:rsid w:val="00324AFA"/>
    <w:rsid w:val="0032538C"/>
    <w:rsid w:val="00326626"/>
    <w:rsid w:val="00336FC2"/>
    <w:rsid w:val="00337BFF"/>
    <w:rsid w:val="00340047"/>
    <w:rsid w:val="00342AD0"/>
    <w:rsid w:val="00342CA3"/>
    <w:rsid w:val="003441ED"/>
    <w:rsid w:val="00351110"/>
    <w:rsid w:val="0035406A"/>
    <w:rsid w:val="003565B4"/>
    <w:rsid w:val="00356D17"/>
    <w:rsid w:val="00357F33"/>
    <w:rsid w:val="003823E9"/>
    <w:rsid w:val="003849C2"/>
    <w:rsid w:val="00387E56"/>
    <w:rsid w:val="003919C4"/>
    <w:rsid w:val="00391AC6"/>
    <w:rsid w:val="00396F76"/>
    <w:rsid w:val="003A2C5D"/>
    <w:rsid w:val="003B370F"/>
    <w:rsid w:val="003B7806"/>
    <w:rsid w:val="003C151B"/>
    <w:rsid w:val="003C42CC"/>
    <w:rsid w:val="003D0257"/>
    <w:rsid w:val="003D1D2E"/>
    <w:rsid w:val="003D4633"/>
    <w:rsid w:val="003E12A3"/>
    <w:rsid w:val="003F349F"/>
    <w:rsid w:val="003F415F"/>
    <w:rsid w:val="003F769B"/>
    <w:rsid w:val="00402505"/>
    <w:rsid w:val="00407F36"/>
    <w:rsid w:val="0041099C"/>
    <w:rsid w:val="00415500"/>
    <w:rsid w:val="00417DA2"/>
    <w:rsid w:val="0043164C"/>
    <w:rsid w:val="00431D11"/>
    <w:rsid w:val="00432541"/>
    <w:rsid w:val="004408C4"/>
    <w:rsid w:val="00443680"/>
    <w:rsid w:val="004448AC"/>
    <w:rsid w:val="00444C5C"/>
    <w:rsid w:val="00452BD9"/>
    <w:rsid w:val="00452E84"/>
    <w:rsid w:val="00452F4B"/>
    <w:rsid w:val="0046149D"/>
    <w:rsid w:val="004626FC"/>
    <w:rsid w:val="00463922"/>
    <w:rsid w:val="00474BDA"/>
    <w:rsid w:val="004756EB"/>
    <w:rsid w:val="00475FE0"/>
    <w:rsid w:val="00485682"/>
    <w:rsid w:val="0048663C"/>
    <w:rsid w:val="00490AAE"/>
    <w:rsid w:val="004928F6"/>
    <w:rsid w:val="00492E26"/>
    <w:rsid w:val="004932F7"/>
    <w:rsid w:val="004A0FF7"/>
    <w:rsid w:val="004B079A"/>
    <w:rsid w:val="004B6E55"/>
    <w:rsid w:val="004C0C65"/>
    <w:rsid w:val="004C21A6"/>
    <w:rsid w:val="004C4E89"/>
    <w:rsid w:val="004C7797"/>
    <w:rsid w:val="004C7E71"/>
    <w:rsid w:val="004D0469"/>
    <w:rsid w:val="004D4745"/>
    <w:rsid w:val="004D792A"/>
    <w:rsid w:val="004E18D1"/>
    <w:rsid w:val="004E78BE"/>
    <w:rsid w:val="004E7CB4"/>
    <w:rsid w:val="004F0D4F"/>
    <w:rsid w:val="004F0D70"/>
    <w:rsid w:val="004F4B54"/>
    <w:rsid w:val="00502D32"/>
    <w:rsid w:val="00504A3D"/>
    <w:rsid w:val="00506D5E"/>
    <w:rsid w:val="00522D66"/>
    <w:rsid w:val="00526168"/>
    <w:rsid w:val="00533FA7"/>
    <w:rsid w:val="00535555"/>
    <w:rsid w:val="0054396D"/>
    <w:rsid w:val="00544BA1"/>
    <w:rsid w:val="005539AB"/>
    <w:rsid w:val="00557866"/>
    <w:rsid w:val="00564AAB"/>
    <w:rsid w:val="005656F2"/>
    <w:rsid w:val="00566763"/>
    <w:rsid w:val="00572DE1"/>
    <w:rsid w:val="00572F99"/>
    <w:rsid w:val="0057492F"/>
    <w:rsid w:val="0057527F"/>
    <w:rsid w:val="005802EC"/>
    <w:rsid w:val="00585239"/>
    <w:rsid w:val="00593B9A"/>
    <w:rsid w:val="00594EC0"/>
    <w:rsid w:val="0059569A"/>
    <w:rsid w:val="005A54C1"/>
    <w:rsid w:val="005A5D4A"/>
    <w:rsid w:val="005B0710"/>
    <w:rsid w:val="005B122F"/>
    <w:rsid w:val="005B395E"/>
    <w:rsid w:val="005D1A60"/>
    <w:rsid w:val="005D23E6"/>
    <w:rsid w:val="005E2B23"/>
    <w:rsid w:val="005F2614"/>
    <w:rsid w:val="005F3E15"/>
    <w:rsid w:val="006045E1"/>
    <w:rsid w:val="00606BC7"/>
    <w:rsid w:val="00610320"/>
    <w:rsid w:val="00612868"/>
    <w:rsid w:val="00615A43"/>
    <w:rsid w:val="00616B82"/>
    <w:rsid w:val="00616D53"/>
    <w:rsid w:val="00616E31"/>
    <w:rsid w:val="006204E6"/>
    <w:rsid w:val="00621195"/>
    <w:rsid w:val="00621346"/>
    <w:rsid w:val="00621F46"/>
    <w:rsid w:val="0062450E"/>
    <w:rsid w:val="006252B9"/>
    <w:rsid w:val="00626609"/>
    <w:rsid w:val="00637EFC"/>
    <w:rsid w:val="00640424"/>
    <w:rsid w:val="006421DF"/>
    <w:rsid w:val="00643A02"/>
    <w:rsid w:val="00645D2E"/>
    <w:rsid w:val="0064649D"/>
    <w:rsid w:val="00654093"/>
    <w:rsid w:val="0066024F"/>
    <w:rsid w:val="006626CC"/>
    <w:rsid w:val="00663B03"/>
    <w:rsid w:val="00663F89"/>
    <w:rsid w:val="006703DB"/>
    <w:rsid w:val="00673837"/>
    <w:rsid w:val="00673845"/>
    <w:rsid w:val="00673E63"/>
    <w:rsid w:val="00681189"/>
    <w:rsid w:val="0068784E"/>
    <w:rsid w:val="00690B34"/>
    <w:rsid w:val="00690C8E"/>
    <w:rsid w:val="00692024"/>
    <w:rsid w:val="00696F31"/>
    <w:rsid w:val="006A11FA"/>
    <w:rsid w:val="006A1243"/>
    <w:rsid w:val="006A2ED8"/>
    <w:rsid w:val="006A6BCC"/>
    <w:rsid w:val="006B7871"/>
    <w:rsid w:val="006C2B8D"/>
    <w:rsid w:val="006D2D50"/>
    <w:rsid w:val="006E2277"/>
    <w:rsid w:val="006E660C"/>
    <w:rsid w:val="006E688F"/>
    <w:rsid w:val="006E6972"/>
    <w:rsid w:val="006E69D5"/>
    <w:rsid w:val="006F05F9"/>
    <w:rsid w:val="006F30E5"/>
    <w:rsid w:val="006F5617"/>
    <w:rsid w:val="0070419A"/>
    <w:rsid w:val="00712C87"/>
    <w:rsid w:val="00712EAA"/>
    <w:rsid w:val="007133DC"/>
    <w:rsid w:val="0071558C"/>
    <w:rsid w:val="00720828"/>
    <w:rsid w:val="00720864"/>
    <w:rsid w:val="007218A6"/>
    <w:rsid w:val="00722DA4"/>
    <w:rsid w:val="007249D1"/>
    <w:rsid w:val="007259D6"/>
    <w:rsid w:val="007304A4"/>
    <w:rsid w:val="007312A4"/>
    <w:rsid w:val="00734760"/>
    <w:rsid w:val="007357F8"/>
    <w:rsid w:val="007448C8"/>
    <w:rsid w:val="0074549E"/>
    <w:rsid w:val="0075304A"/>
    <w:rsid w:val="00760D88"/>
    <w:rsid w:val="00763A8C"/>
    <w:rsid w:val="00776319"/>
    <w:rsid w:val="00776939"/>
    <w:rsid w:val="0078296F"/>
    <w:rsid w:val="007863A8"/>
    <w:rsid w:val="007911EE"/>
    <w:rsid w:val="007934BC"/>
    <w:rsid w:val="007935EE"/>
    <w:rsid w:val="00794C01"/>
    <w:rsid w:val="007A1937"/>
    <w:rsid w:val="007A604B"/>
    <w:rsid w:val="007B474C"/>
    <w:rsid w:val="007C4CB1"/>
    <w:rsid w:val="007C686C"/>
    <w:rsid w:val="007D2A93"/>
    <w:rsid w:val="007D7EC8"/>
    <w:rsid w:val="007E2EEE"/>
    <w:rsid w:val="007E653D"/>
    <w:rsid w:val="007E6CEA"/>
    <w:rsid w:val="007E765F"/>
    <w:rsid w:val="007F103B"/>
    <w:rsid w:val="007F2314"/>
    <w:rsid w:val="007F70C3"/>
    <w:rsid w:val="008037A1"/>
    <w:rsid w:val="00813B85"/>
    <w:rsid w:val="00813D06"/>
    <w:rsid w:val="008179F4"/>
    <w:rsid w:val="00830188"/>
    <w:rsid w:val="008318F0"/>
    <w:rsid w:val="00832109"/>
    <w:rsid w:val="0083259C"/>
    <w:rsid w:val="00841FDA"/>
    <w:rsid w:val="00843492"/>
    <w:rsid w:val="00843E5E"/>
    <w:rsid w:val="00847D4B"/>
    <w:rsid w:val="00850481"/>
    <w:rsid w:val="00852CD8"/>
    <w:rsid w:val="008544DD"/>
    <w:rsid w:val="00873B89"/>
    <w:rsid w:val="00875D0D"/>
    <w:rsid w:val="00881044"/>
    <w:rsid w:val="008877A1"/>
    <w:rsid w:val="00890358"/>
    <w:rsid w:val="00894BA0"/>
    <w:rsid w:val="00896863"/>
    <w:rsid w:val="008A0116"/>
    <w:rsid w:val="008A15BE"/>
    <w:rsid w:val="008B3FF9"/>
    <w:rsid w:val="008B464C"/>
    <w:rsid w:val="008B4679"/>
    <w:rsid w:val="008B5AE6"/>
    <w:rsid w:val="008C181E"/>
    <w:rsid w:val="008C4F7E"/>
    <w:rsid w:val="008C5014"/>
    <w:rsid w:val="008D3A90"/>
    <w:rsid w:val="008D4BE0"/>
    <w:rsid w:val="008D56EC"/>
    <w:rsid w:val="008E408C"/>
    <w:rsid w:val="008E563B"/>
    <w:rsid w:val="008F21BC"/>
    <w:rsid w:val="008F2398"/>
    <w:rsid w:val="00903DBD"/>
    <w:rsid w:val="00904A65"/>
    <w:rsid w:val="00906A85"/>
    <w:rsid w:val="009159C7"/>
    <w:rsid w:val="00921CAC"/>
    <w:rsid w:val="00922C5C"/>
    <w:rsid w:val="00924FBA"/>
    <w:rsid w:val="00945F38"/>
    <w:rsid w:val="0095212F"/>
    <w:rsid w:val="00952162"/>
    <w:rsid w:val="00954442"/>
    <w:rsid w:val="00975920"/>
    <w:rsid w:val="009779CD"/>
    <w:rsid w:val="00980B78"/>
    <w:rsid w:val="00981843"/>
    <w:rsid w:val="00990C38"/>
    <w:rsid w:val="00992E00"/>
    <w:rsid w:val="009A5421"/>
    <w:rsid w:val="009B0460"/>
    <w:rsid w:val="009B1521"/>
    <w:rsid w:val="009B4726"/>
    <w:rsid w:val="009B56AF"/>
    <w:rsid w:val="009C097A"/>
    <w:rsid w:val="009D0AE7"/>
    <w:rsid w:val="009D38E2"/>
    <w:rsid w:val="009D6318"/>
    <w:rsid w:val="009E1F82"/>
    <w:rsid w:val="009F4491"/>
    <w:rsid w:val="009F4E86"/>
    <w:rsid w:val="009F77F5"/>
    <w:rsid w:val="00A00DBE"/>
    <w:rsid w:val="00A06DCB"/>
    <w:rsid w:val="00A14DD1"/>
    <w:rsid w:val="00A1632D"/>
    <w:rsid w:val="00A2033E"/>
    <w:rsid w:val="00A239A1"/>
    <w:rsid w:val="00A23B41"/>
    <w:rsid w:val="00A242C0"/>
    <w:rsid w:val="00A24981"/>
    <w:rsid w:val="00A25162"/>
    <w:rsid w:val="00A31074"/>
    <w:rsid w:val="00A314D3"/>
    <w:rsid w:val="00A37DAF"/>
    <w:rsid w:val="00A4114C"/>
    <w:rsid w:val="00A44CDD"/>
    <w:rsid w:val="00A45E7A"/>
    <w:rsid w:val="00A51636"/>
    <w:rsid w:val="00A5689A"/>
    <w:rsid w:val="00A5723B"/>
    <w:rsid w:val="00A64B04"/>
    <w:rsid w:val="00A72892"/>
    <w:rsid w:val="00A73427"/>
    <w:rsid w:val="00A75BE3"/>
    <w:rsid w:val="00A86394"/>
    <w:rsid w:val="00A906D4"/>
    <w:rsid w:val="00A9193F"/>
    <w:rsid w:val="00A9726C"/>
    <w:rsid w:val="00A9750E"/>
    <w:rsid w:val="00AA153B"/>
    <w:rsid w:val="00AA1B9B"/>
    <w:rsid w:val="00AA2294"/>
    <w:rsid w:val="00AA3AD9"/>
    <w:rsid w:val="00AB11D4"/>
    <w:rsid w:val="00AB1472"/>
    <w:rsid w:val="00AB15F1"/>
    <w:rsid w:val="00AB74BA"/>
    <w:rsid w:val="00AC0E2A"/>
    <w:rsid w:val="00AC36B6"/>
    <w:rsid w:val="00AC654A"/>
    <w:rsid w:val="00AC786C"/>
    <w:rsid w:val="00AD35CC"/>
    <w:rsid w:val="00AD6466"/>
    <w:rsid w:val="00AD7D9D"/>
    <w:rsid w:val="00AE31C3"/>
    <w:rsid w:val="00AE5960"/>
    <w:rsid w:val="00AE698C"/>
    <w:rsid w:val="00AF1388"/>
    <w:rsid w:val="00AF3D2E"/>
    <w:rsid w:val="00AF79D0"/>
    <w:rsid w:val="00B031CD"/>
    <w:rsid w:val="00B03D27"/>
    <w:rsid w:val="00B10D5E"/>
    <w:rsid w:val="00B12EA9"/>
    <w:rsid w:val="00B16513"/>
    <w:rsid w:val="00B2073B"/>
    <w:rsid w:val="00B20A36"/>
    <w:rsid w:val="00B24001"/>
    <w:rsid w:val="00B24ACE"/>
    <w:rsid w:val="00B24C0A"/>
    <w:rsid w:val="00B32F6F"/>
    <w:rsid w:val="00B3612A"/>
    <w:rsid w:val="00B41908"/>
    <w:rsid w:val="00B45F4C"/>
    <w:rsid w:val="00B467CB"/>
    <w:rsid w:val="00B51265"/>
    <w:rsid w:val="00B51D16"/>
    <w:rsid w:val="00B75164"/>
    <w:rsid w:val="00BB12D3"/>
    <w:rsid w:val="00BB6369"/>
    <w:rsid w:val="00BC13E1"/>
    <w:rsid w:val="00BC472E"/>
    <w:rsid w:val="00BC5576"/>
    <w:rsid w:val="00BC68EE"/>
    <w:rsid w:val="00BE024D"/>
    <w:rsid w:val="00BE0FF3"/>
    <w:rsid w:val="00BE1FEB"/>
    <w:rsid w:val="00BE2C0E"/>
    <w:rsid w:val="00BE37C6"/>
    <w:rsid w:val="00BF1752"/>
    <w:rsid w:val="00C07008"/>
    <w:rsid w:val="00C11A6E"/>
    <w:rsid w:val="00C13DB3"/>
    <w:rsid w:val="00C204A5"/>
    <w:rsid w:val="00C23041"/>
    <w:rsid w:val="00C234E4"/>
    <w:rsid w:val="00C321E0"/>
    <w:rsid w:val="00C35AC3"/>
    <w:rsid w:val="00C374D2"/>
    <w:rsid w:val="00C4256D"/>
    <w:rsid w:val="00C52AE7"/>
    <w:rsid w:val="00C56B08"/>
    <w:rsid w:val="00C62923"/>
    <w:rsid w:val="00C62989"/>
    <w:rsid w:val="00C70F7E"/>
    <w:rsid w:val="00C714AE"/>
    <w:rsid w:val="00C81E09"/>
    <w:rsid w:val="00C843A5"/>
    <w:rsid w:val="00C91631"/>
    <w:rsid w:val="00C9165A"/>
    <w:rsid w:val="00C935DB"/>
    <w:rsid w:val="00C9578C"/>
    <w:rsid w:val="00C974B7"/>
    <w:rsid w:val="00CA3AEF"/>
    <w:rsid w:val="00CA4D72"/>
    <w:rsid w:val="00CA6AE7"/>
    <w:rsid w:val="00CA788B"/>
    <w:rsid w:val="00CB2C0F"/>
    <w:rsid w:val="00CB5504"/>
    <w:rsid w:val="00CB6ECC"/>
    <w:rsid w:val="00CC1B3E"/>
    <w:rsid w:val="00CC2D18"/>
    <w:rsid w:val="00CC3778"/>
    <w:rsid w:val="00CC4E20"/>
    <w:rsid w:val="00CD199A"/>
    <w:rsid w:val="00CE2A70"/>
    <w:rsid w:val="00CE654B"/>
    <w:rsid w:val="00D07A82"/>
    <w:rsid w:val="00D13168"/>
    <w:rsid w:val="00D27A6C"/>
    <w:rsid w:val="00D301B0"/>
    <w:rsid w:val="00D333F1"/>
    <w:rsid w:val="00D33809"/>
    <w:rsid w:val="00D370A4"/>
    <w:rsid w:val="00D37C63"/>
    <w:rsid w:val="00D41F61"/>
    <w:rsid w:val="00D44E62"/>
    <w:rsid w:val="00D459B0"/>
    <w:rsid w:val="00D502A6"/>
    <w:rsid w:val="00D51F52"/>
    <w:rsid w:val="00D5535A"/>
    <w:rsid w:val="00D55BA8"/>
    <w:rsid w:val="00D56567"/>
    <w:rsid w:val="00D56CE9"/>
    <w:rsid w:val="00D62594"/>
    <w:rsid w:val="00D76604"/>
    <w:rsid w:val="00D7797B"/>
    <w:rsid w:val="00D8073A"/>
    <w:rsid w:val="00D80D8D"/>
    <w:rsid w:val="00D83D20"/>
    <w:rsid w:val="00D843BB"/>
    <w:rsid w:val="00D86286"/>
    <w:rsid w:val="00D97F61"/>
    <w:rsid w:val="00DA4D2F"/>
    <w:rsid w:val="00DA5791"/>
    <w:rsid w:val="00DB3132"/>
    <w:rsid w:val="00DB4432"/>
    <w:rsid w:val="00DB54AD"/>
    <w:rsid w:val="00DC61F1"/>
    <w:rsid w:val="00DD586A"/>
    <w:rsid w:val="00DD5C84"/>
    <w:rsid w:val="00DD6B52"/>
    <w:rsid w:val="00DE6655"/>
    <w:rsid w:val="00DE7336"/>
    <w:rsid w:val="00DF173C"/>
    <w:rsid w:val="00DF30EE"/>
    <w:rsid w:val="00DF56BB"/>
    <w:rsid w:val="00DF76CE"/>
    <w:rsid w:val="00E00C23"/>
    <w:rsid w:val="00E13C63"/>
    <w:rsid w:val="00E14F38"/>
    <w:rsid w:val="00E16440"/>
    <w:rsid w:val="00E349B8"/>
    <w:rsid w:val="00E35F8E"/>
    <w:rsid w:val="00E3692D"/>
    <w:rsid w:val="00E379D5"/>
    <w:rsid w:val="00E4001B"/>
    <w:rsid w:val="00E40249"/>
    <w:rsid w:val="00E613DB"/>
    <w:rsid w:val="00E630F3"/>
    <w:rsid w:val="00E71CF3"/>
    <w:rsid w:val="00E77A66"/>
    <w:rsid w:val="00E81109"/>
    <w:rsid w:val="00E834B2"/>
    <w:rsid w:val="00E92B23"/>
    <w:rsid w:val="00E93BB1"/>
    <w:rsid w:val="00E96B5C"/>
    <w:rsid w:val="00EA0A6F"/>
    <w:rsid w:val="00EA0D8A"/>
    <w:rsid w:val="00EA668B"/>
    <w:rsid w:val="00EA7372"/>
    <w:rsid w:val="00EB122C"/>
    <w:rsid w:val="00EB1DE5"/>
    <w:rsid w:val="00EC7109"/>
    <w:rsid w:val="00ED536C"/>
    <w:rsid w:val="00EE00E3"/>
    <w:rsid w:val="00EE0174"/>
    <w:rsid w:val="00EF4136"/>
    <w:rsid w:val="00F03205"/>
    <w:rsid w:val="00F0377F"/>
    <w:rsid w:val="00F1274C"/>
    <w:rsid w:val="00F12C5D"/>
    <w:rsid w:val="00F13B98"/>
    <w:rsid w:val="00F239FC"/>
    <w:rsid w:val="00F2566E"/>
    <w:rsid w:val="00F3134F"/>
    <w:rsid w:val="00F368DE"/>
    <w:rsid w:val="00F3723E"/>
    <w:rsid w:val="00F37E7A"/>
    <w:rsid w:val="00F42890"/>
    <w:rsid w:val="00F46D6B"/>
    <w:rsid w:val="00F4729C"/>
    <w:rsid w:val="00F47CE3"/>
    <w:rsid w:val="00F602F4"/>
    <w:rsid w:val="00F67EA4"/>
    <w:rsid w:val="00F75997"/>
    <w:rsid w:val="00F81087"/>
    <w:rsid w:val="00F837E4"/>
    <w:rsid w:val="00F83E15"/>
    <w:rsid w:val="00F84614"/>
    <w:rsid w:val="00F90BD3"/>
    <w:rsid w:val="00F944E6"/>
    <w:rsid w:val="00F9730A"/>
    <w:rsid w:val="00FA2D79"/>
    <w:rsid w:val="00FA302C"/>
    <w:rsid w:val="00FA447F"/>
    <w:rsid w:val="00FB3726"/>
    <w:rsid w:val="00FB588F"/>
    <w:rsid w:val="00FB6929"/>
    <w:rsid w:val="00FD36B0"/>
    <w:rsid w:val="00FD7FC4"/>
    <w:rsid w:val="00FE2D5E"/>
    <w:rsid w:val="00FE4DA4"/>
    <w:rsid w:val="00FE7210"/>
    <w:rsid w:val="00FF5C07"/>
    <w:rsid w:val="00FF622A"/>
    <w:rsid w:val="01532C48"/>
    <w:rsid w:val="07DAE874"/>
    <w:rsid w:val="0F732E00"/>
    <w:rsid w:val="15EA815F"/>
    <w:rsid w:val="1AFFA8FE"/>
    <w:rsid w:val="1EBF3935"/>
    <w:rsid w:val="289763EA"/>
    <w:rsid w:val="2A3709E6"/>
    <w:rsid w:val="2AF46F08"/>
    <w:rsid w:val="2B75215C"/>
    <w:rsid w:val="32483F8C"/>
    <w:rsid w:val="339F7224"/>
    <w:rsid w:val="349F7963"/>
    <w:rsid w:val="36FE358B"/>
    <w:rsid w:val="3A5B6DDE"/>
    <w:rsid w:val="3B5FE47F"/>
    <w:rsid w:val="3DBB7EB6"/>
    <w:rsid w:val="3DDEB149"/>
    <w:rsid w:val="3EEB4DAD"/>
    <w:rsid w:val="3EFDE717"/>
    <w:rsid w:val="3F6F175E"/>
    <w:rsid w:val="3F9BD469"/>
    <w:rsid w:val="3FBF7535"/>
    <w:rsid w:val="3FDD91B7"/>
    <w:rsid w:val="3FFE96AE"/>
    <w:rsid w:val="45F7E578"/>
    <w:rsid w:val="4621349D"/>
    <w:rsid w:val="468B50CB"/>
    <w:rsid w:val="483F3616"/>
    <w:rsid w:val="4A5504F1"/>
    <w:rsid w:val="4FB3257A"/>
    <w:rsid w:val="55FF083B"/>
    <w:rsid w:val="58F3DAD0"/>
    <w:rsid w:val="5A3B2F6D"/>
    <w:rsid w:val="5AEAAE21"/>
    <w:rsid w:val="5B8B4EEF"/>
    <w:rsid w:val="5D9A562C"/>
    <w:rsid w:val="5E9FC213"/>
    <w:rsid w:val="5EFDA23E"/>
    <w:rsid w:val="5F1BFD8D"/>
    <w:rsid w:val="5F7B43C0"/>
    <w:rsid w:val="5FED51F6"/>
    <w:rsid w:val="60D57822"/>
    <w:rsid w:val="632CF505"/>
    <w:rsid w:val="64F392DF"/>
    <w:rsid w:val="67DF562A"/>
    <w:rsid w:val="67F8AFB0"/>
    <w:rsid w:val="6AD56D36"/>
    <w:rsid w:val="6BD72B9A"/>
    <w:rsid w:val="6CAD94BF"/>
    <w:rsid w:val="6D3E610F"/>
    <w:rsid w:val="6DEF552C"/>
    <w:rsid w:val="6DFF1DCE"/>
    <w:rsid w:val="6DFFF164"/>
    <w:rsid w:val="6F3DC76F"/>
    <w:rsid w:val="6FF38234"/>
    <w:rsid w:val="71F7E09F"/>
    <w:rsid w:val="75CD4ED5"/>
    <w:rsid w:val="76AF657D"/>
    <w:rsid w:val="77F7D6F7"/>
    <w:rsid w:val="77FFC5F1"/>
    <w:rsid w:val="78EB8110"/>
    <w:rsid w:val="79DF62A4"/>
    <w:rsid w:val="7AFD8B5B"/>
    <w:rsid w:val="7B6FA6B3"/>
    <w:rsid w:val="7BFDCCA7"/>
    <w:rsid w:val="7D9F97CD"/>
    <w:rsid w:val="7DB5E2D0"/>
    <w:rsid w:val="7DBFAB9D"/>
    <w:rsid w:val="7DF730FD"/>
    <w:rsid w:val="7DFDAB93"/>
    <w:rsid w:val="7DFFD080"/>
    <w:rsid w:val="7EAFCCEA"/>
    <w:rsid w:val="7EB771BA"/>
    <w:rsid w:val="7EB77CD3"/>
    <w:rsid w:val="7EBFC3FA"/>
    <w:rsid w:val="7EDF3260"/>
    <w:rsid w:val="7EFE4AB2"/>
    <w:rsid w:val="7F1E31F8"/>
    <w:rsid w:val="7FBEB1D9"/>
    <w:rsid w:val="7FBFF788"/>
    <w:rsid w:val="7FD72AF8"/>
    <w:rsid w:val="7FDD2AAB"/>
    <w:rsid w:val="7FEE521F"/>
    <w:rsid w:val="7FF53C4D"/>
    <w:rsid w:val="7FFDCB37"/>
    <w:rsid w:val="7FFF4F17"/>
    <w:rsid w:val="97EF8935"/>
    <w:rsid w:val="A37E281C"/>
    <w:rsid w:val="AE7ED065"/>
    <w:rsid w:val="B1FE808F"/>
    <w:rsid w:val="B36CF0EC"/>
    <w:rsid w:val="B5F71315"/>
    <w:rsid w:val="B7EBDFA7"/>
    <w:rsid w:val="B7F5BAF0"/>
    <w:rsid w:val="B7FFC903"/>
    <w:rsid w:val="BDAB573C"/>
    <w:rsid w:val="BEAF1B49"/>
    <w:rsid w:val="BEFF0D36"/>
    <w:rsid w:val="BEFF645D"/>
    <w:rsid w:val="BF7F6FB8"/>
    <w:rsid w:val="C6FF5BFE"/>
    <w:rsid w:val="C82F4DEE"/>
    <w:rsid w:val="CBBF4192"/>
    <w:rsid w:val="CBEEECCC"/>
    <w:rsid w:val="CFBB4DF3"/>
    <w:rsid w:val="D30FF469"/>
    <w:rsid w:val="D4FF3DAB"/>
    <w:rsid w:val="DBF55EEA"/>
    <w:rsid w:val="DEBE2A96"/>
    <w:rsid w:val="DEFEAA77"/>
    <w:rsid w:val="DF9B9CBD"/>
    <w:rsid w:val="DFCFC0FB"/>
    <w:rsid w:val="DFEBE2F5"/>
    <w:rsid w:val="DFEF65A0"/>
    <w:rsid w:val="DFFEAEB7"/>
    <w:rsid w:val="E66F2B8B"/>
    <w:rsid w:val="E6F78B7C"/>
    <w:rsid w:val="E79EFD8E"/>
    <w:rsid w:val="E7BE13C1"/>
    <w:rsid w:val="EBDFA643"/>
    <w:rsid w:val="ED9CD191"/>
    <w:rsid w:val="EDE79093"/>
    <w:rsid w:val="EF799284"/>
    <w:rsid w:val="F397DBB8"/>
    <w:rsid w:val="F6EA2B14"/>
    <w:rsid w:val="F97F7FCA"/>
    <w:rsid w:val="F9BFFB73"/>
    <w:rsid w:val="F9FFE420"/>
    <w:rsid w:val="FC9FFE99"/>
    <w:rsid w:val="FEDB4178"/>
    <w:rsid w:val="FEDE7719"/>
    <w:rsid w:val="FEE38360"/>
    <w:rsid w:val="FEEE64F3"/>
    <w:rsid w:val="FEFF95DA"/>
    <w:rsid w:val="FF0B5E91"/>
    <w:rsid w:val="FF75A096"/>
    <w:rsid w:val="FF7B0251"/>
    <w:rsid w:val="FFB7041B"/>
    <w:rsid w:val="FFBB335F"/>
    <w:rsid w:val="FFBE7C75"/>
    <w:rsid w:val="FFCF0441"/>
    <w:rsid w:val="FFDF0213"/>
    <w:rsid w:val="FFE64C45"/>
    <w:rsid w:val="FFF3860F"/>
    <w:rsid w:val="FFFF1C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eastAsia="仿宋_GB2312" w:asciiTheme="minorHAnsi" w:hAnsiTheme="minorHAnsi" w:cstheme="minorBidi"/>
      <w:kern w:val="2"/>
      <w:sz w:val="30"/>
      <w:szCs w:val="22"/>
      <w:lang w:val="en-US" w:eastAsia="zh-CN" w:bidi="ar-SA"/>
    </w:rPr>
  </w:style>
  <w:style w:type="paragraph" w:styleId="2">
    <w:name w:val="heading 1"/>
    <w:basedOn w:val="1"/>
    <w:next w:val="1"/>
    <w:link w:val="29"/>
    <w:qFormat/>
    <w:uiPriority w:val="9"/>
    <w:pPr>
      <w:keepNext/>
      <w:keepLines/>
      <w:spacing w:before="120" w:after="120"/>
      <w:outlineLvl w:val="0"/>
    </w:pPr>
    <w:rPr>
      <w:rFonts w:eastAsia="楷体" w:asciiTheme="majorHAnsi" w:hAnsiTheme="majorHAnsi" w:cstheme="majorBidi"/>
      <w:b/>
      <w:sz w:val="32"/>
      <w:szCs w:val="48"/>
    </w:rPr>
  </w:style>
  <w:style w:type="paragraph" w:styleId="3">
    <w:name w:val="heading 2"/>
    <w:basedOn w:val="1"/>
    <w:next w:val="1"/>
    <w:link w:val="30"/>
    <w:unhideWhenUsed/>
    <w:qFormat/>
    <w:uiPriority w:val="9"/>
    <w:pPr>
      <w:keepNext/>
      <w:keepLines/>
      <w:spacing w:before="120" w:after="120"/>
      <w:outlineLvl w:val="1"/>
    </w:pPr>
    <w:rPr>
      <w:rFonts w:eastAsia="楷体" w:asciiTheme="majorHAnsi" w:hAnsiTheme="majorHAnsi" w:cstheme="majorBidi"/>
      <w:b/>
      <w:sz w:val="32"/>
      <w:szCs w:val="40"/>
    </w:rPr>
  </w:style>
  <w:style w:type="paragraph" w:styleId="4">
    <w:name w:val="heading 3"/>
    <w:basedOn w:val="1"/>
    <w:next w:val="1"/>
    <w:link w:val="31"/>
    <w:unhideWhenUsed/>
    <w:qFormat/>
    <w:uiPriority w:val="9"/>
    <w:pPr>
      <w:keepNext/>
      <w:keepLines/>
      <w:outlineLvl w:val="2"/>
    </w:pPr>
    <w:rPr>
      <w:rFonts w:asciiTheme="majorHAnsi" w:hAnsiTheme="majorHAnsi" w:cstheme="majorBidi"/>
      <w:b/>
      <w:color w:val="000000" w:themeColor="text1"/>
      <w:szCs w:val="32"/>
      <w14:textFill>
        <w14:solidFill>
          <w14:schemeClr w14:val="tx1"/>
        </w14:solidFill>
      </w14:textFill>
    </w:rPr>
  </w:style>
  <w:style w:type="paragraph" w:styleId="5">
    <w:name w:val="heading 4"/>
    <w:basedOn w:val="1"/>
    <w:next w:val="1"/>
    <w:link w:val="32"/>
    <w:unhideWhenUsed/>
    <w:qFormat/>
    <w:uiPriority w:val="9"/>
    <w:pPr>
      <w:keepNext/>
      <w:keepLines/>
      <w:outlineLvl w:val="3"/>
    </w:pPr>
    <w:rPr>
      <w:rFonts w:cstheme="majorBidi"/>
      <w:b/>
      <w:szCs w:val="28"/>
    </w:rPr>
  </w:style>
  <w:style w:type="paragraph" w:styleId="6">
    <w:name w:val="heading 5"/>
    <w:basedOn w:val="1"/>
    <w:next w:val="1"/>
    <w:link w:val="33"/>
    <w:semiHidden/>
    <w:unhideWhenUsed/>
    <w:qFormat/>
    <w:uiPriority w:val="9"/>
    <w:pPr>
      <w:keepNext/>
      <w:keepLines/>
      <w:spacing w:before="80" w:after="40"/>
      <w:outlineLvl w:val="4"/>
    </w:pPr>
    <w:rPr>
      <w:rFonts w:cstheme="majorBidi"/>
      <w:color w:val="2E75B6" w:themeColor="accent1" w:themeShade="BF"/>
      <w:sz w:val="24"/>
      <w:szCs w:val="24"/>
    </w:rPr>
  </w:style>
  <w:style w:type="paragraph" w:styleId="7">
    <w:name w:val="heading 6"/>
    <w:basedOn w:val="1"/>
    <w:next w:val="1"/>
    <w:link w:val="34"/>
    <w:semiHidden/>
    <w:unhideWhenUsed/>
    <w:qFormat/>
    <w:uiPriority w:val="9"/>
    <w:pPr>
      <w:keepNext/>
      <w:keepLines/>
      <w:spacing w:before="40"/>
      <w:outlineLvl w:val="5"/>
    </w:pPr>
    <w:rPr>
      <w:rFonts w:cstheme="majorBidi"/>
      <w:b/>
      <w:bCs/>
      <w:color w:val="2E75B6" w:themeColor="accent1" w:themeShade="BF"/>
    </w:rPr>
  </w:style>
  <w:style w:type="paragraph" w:styleId="8">
    <w:name w:val="heading 7"/>
    <w:basedOn w:val="1"/>
    <w:next w:val="1"/>
    <w:link w:val="35"/>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6"/>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7"/>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7">
    <w:name w:val="Default Paragraph Font"/>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160" w:line="278" w:lineRule="auto"/>
      <w:ind w:left="2520" w:leftChars="1200" w:firstLine="0" w:firstLineChars="0"/>
      <w:jc w:val="left"/>
    </w:pPr>
    <w:rPr>
      <w:rFonts w:eastAsiaTheme="minorEastAsia"/>
      <w:sz w:val="22"/>
      <w:szCs w:val="24"/>
      <w14:ligatures w14:val="standardContextual"/>
    </w:rPr>
  </w:style>
  <w:style w:type="paragraph" w:styleId="12">
    <w:name w:val="toc 5"/>
    <w:basedOn w:val="1"/>
    <w:next w:val="1"/>
    <w:unhideWhenUsed/>
    <w:qFormat/>
    <w:uiPriority w:val="39"/>
    <w:pPr>
      <w:spacing w:after="160" w:line="278" w:lineRule="auto"/>
      <w:ind w:left="1680" w:leftChars="800" w:firstLine="0" w:firstLineChars="0"/>
      <w:jc w:val="left"/>
    </w:pPr>
    <w:rPr>
      <w:rFonts w:eastAsiaTheme="minorEastAsia"/>
      <w:sz w:val="22"/>
      <w:szCs w:val="24"/>
      <w14:ligatures w14:val="standardContextual"/>
    </w:rPr>
  </w:style>
  <w:style w:type="paragraph" w:styleId="13">
    <w:name w:val="toc 3"/>
    <w:basedOn w:val="1"/>
    <w:next w:val="1"/>
    <w:unhideWhenUsed/>
    <w:qFormat/>
    <w:uiPriority w:val="39"/>
    <w:pPr>
      <w:ind w:left="840" w:leftChars="400"/>
    </w:pPr>
  </w:style>
  <w:style w:type="paragraph" w:styleId="14">
    <w:name w:val="toc 8"/>
    <w:basedOn w:val="1"/>
    <w:next w:val="1"/>
    <w:unhideWhenUsed/>
    <w:qFormat/>
    <w:uiPriority w:val="39"/>
    <w:pPr>
      <w:spacing w:after="160" w:line="278" w:lineRule="auto"/>
      <w:ind w:left="2940" w:leftChars="1400" w:firstLine="0" w:firstLineChars="0"/>
      <w:jc w:val="left"/>
    </w:pPr>
    <w:rPr>
      <w:rFonts w:eastAsiaTheme="minorEastAsia"/>
      <w:sz w:val="22"/>
      <w:szCs w:val="24"/>
      <w14:ligatures w14:val="standardContextual"/>
    </w:rPr>
  </w:style>
  <w:style w:type="paragraph" w:styleId="15">
    <w:name w:val="Balloon Text"/>
    <w:basedOn w:val="1"/>
    <w:link w:val="59"/>
    <w:semiHidden/>
    <w:unhideWhenUsed/>
    <w:qFormat/>
    <w:uiPriority w:val="99"/>
    <w:pPr>
      <w:spacing w:line="240" w:lineRule="auto"/>
    </w:pPr>
    <w:rPr>
      <w:sz w:val="18"/>
      <w:szCs w:val="18"/>
    </w:rPr>
  </w:style>
  <w:style w:type="paragraph" w:styleId="16">
    <w:name w:val="footer"/>
    <w:basedOn w:val="1"/>
    <w:link w:val="48"/>
    <w:unhideWhenUsed/>
    <w:qFormat/>
    <w:uiPriority w:val="99"/>
    <w:pPr>
      <w:tabs>
        <w:tab w:val="center" w:pos="4153"/>
        <w:tab w:val="right" w:pos="8306"/>
      </w:tabs>
      <w:snapToGrid w:val="0"/>
      <w:spacing w:line="240" w:lineRule="atLeast"/>
      <w:jc w:val="left"/>
    </w:pPr>
    <w:rPr>
      <w:sz w:val="18"/>
      <w:szCs w:val="18"/>
    </w:rPr>
  </w:style>
  <w:style w:type="paragraph" w:styleId="17">
    <w:name w:val="header"/>
    <w:basedOn w:val="1"/>
    <w:link w:val="47"/>
    <w:unhideWhenUsed/>
    <w:qFormat/>
    <w:uiPriority w:val="99"/>
    <w:pPr>
      <w:tabs>
        <w:tab w:val="center" w:pos="4153"/>
        <w:tab w:val="right" w:pos="8306"/>
      </w:tabs>
      <w:snapToGrid w:val="0"/>
      <w:spacing w:line="240" w:lineRule="atLeast"/>
      <w:jc w:val="center"/>
    </w:pPr>
    <w:rPr>
      <w:sz w:val="18"/>
      <w:szCs w:val="18"/>
    </w:rPr>
  </w:style>
  <w:style w:type="paragraph" w:styleId="18">
    <w:name w:val="toc 1"/>
    <w:basedOn w:val="1"/>
    <w:next w:val="1"/>
    <w:unhideWhenUsed/>
    <w:qFormat/>
    <w:uiPriority w:val="39"/>
  </w:style>
  <w:style w:type="paragraph" w:styleId="19">
    <w:name w:val="toc 4"/>
    <w:basedOn w:val="1"/>
    <w:next w:val="1"/>
    <w:unhideWhenUsed/>
    <w:qFormat/>
    <w:uiPriority w:val="39"/>
    <w:pPr>
      <w:spacing w:after="160" w:line="278" w:lineRule="auto"/>
      <w:ind w:left="1260" w:leftChars="600" w:firstLine="0" w:firstLineChars="0"/>
      <w:jc w:val="left"/>
    </w:pPr>
    <w:rPr>
      <w:rFonts w:eastAsiaTheme="minorEastAsia"/>
      <w:sz w:val="22"/>
      <w:szCs w:val="24"/>
      <w14:ligatures w14:val="standardContextual"/>
    </w:rPr>
  </w:style>
  <w:style w:type="paragraph" w:styleId="20">
    <w:name w:val="Subtitle"/>
    <w:basedOn w:val="1"/>
    <w:next w:val="1"/>
    <w:link w:val="39"/>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1">
    <w:name w:val="toc 6"/>
    <w:basedOn w:val="1"/>
    <w:next w:val="1"/>
    <w:unhideWhenUsed/>
    <w:qFormat/>
    <w:uiPriority w:val="39"/>
    <w:pPr>
      <w:spacing w:after="160" w:line="278" w:lineRule="auto"/>
      <w:ind w:left="2100" w:leftChars="1000" w:firstLine="0" w:firstLineChars="0"/>
      <w:jc w:val="left"/>
    </w:pPr>
    <w:rPr>
      <w:rFonts w:eastAsiaTheme="minorEastAsia"/>
      <w:sz w:val="22"/>
      <w:szCs w:val="24"/>
      <w14:ligatures w14:val="standardContextual"/>
    </w:rPr>
  </w:style>
  <w:style w:type="paragraph" w:styleId="22">
    <w:name w:val="toc 2"/>
    <w:basedOn w:val="1"/>
    <w:next w:val="1"/>
    <w:unhideWhenUsed/>
    <w:qFormat/>
    <w:uiPriority w:val="39"/>
    <w:pPr>
      <w:ind w:left="420" w:leftChars="200"/>
    </w:pPr>
  </w:style>
  <w:style w:type="paragraph" w:styleId="23">
    <w:name w:val="toc 9"/>
    <w:basedOn w:val="1"/>
    <w:next w:val="1"/>
    <w:unhideWhenUsed/>
    <w:qFormat/>
    <w:uiPriority w:val="39"/>
    <w:pPr>
      <w:spacing w:after="160" w:line="278" w:lineRule="auto"/>
      <w:ind w:left="3360" w:leftChars="1600" w:firstLine="0" w:firstLineChars="0"/>
      <w:jc w:val="left"/>
    </w:pPr>
    <w:rPr>
      <w:rFonts w:eastAsiaTheme="minorEastAsia"/>
      <w:sz w:val="22"/>
      <w:szCs w:val="24"/>
      <w14:ligatures w14:val="standardContextual"/>
    </w:rPr>
  </w:style>
  <w:style w:type="paragraph" w:styleId="24">
    <w:name w:val="Title"/>
    <w:basedOn w:val="1"/>
    <w:next w:val="1"/>
    <w:link w:val="38"/>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26">
    <w:name w:val="Table Grid"/>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Hyperlink"/>
    <w:basedOn w:val="27"/>
    <w:unhideWhenUsed/>
    <w:qFormat/>
    <w:uiPriority w:val="99"/>
    <w:rPr>
      <w:color w:val="0563C1" w:themeColor="hyperlink"/>
      <w:u w:val="single"/>
      <w14:textFill>
        <w14:solidFill>
          <w14:schemeClr w14:val="hlink"/>
        </w14:solidFill>
      </w14:textFill>
    </w:rPr>
  </w:style>
  <w:style w:type="character" w:customStyle="1" w:styleId="29">
    <w:name w:val="标题 1 字符"/>
    <w:basedOn w:val="27"/>
    <w:link w:val="2"/>
    <w:qFormat/>
    <w:uiPriority w:val="9"/>
    <w:rPr>
      <w:rFonts w:eastAsia="楷体" w:asciiTheme="majorHAnsi" w:hAnsiTheme="majorHAnsi" w:cstheme="majorBidi"/>
      <w:b/>
      <w:sz w:val="32"/>
      <w:szCs w:val="48"/>
    </w:rPr>
  </w:style>
  <w:style w:type="character" w:customStyle="1" w:styleId="30">
    <w:name w:val="标题 2 字符"/>
    <w:basedOn w:val="27"/>
    <w:link w:val="3"/>
    <w:qFormat/>
    <w:uiPriority w:val="9"/>
    <w:rPr>
      <w:rFonts w:eastAsia="楷体" w:asciiTheme="majorHAnsi" w:hAnsiTheme="majorHAnsi" w:cstheme="majorBidi"/>
      <w:b/>
      <w:sz w:val="32"/>
      <w:szCs w:val="40"/>
    </w:rPr>
  </w:style>
  <w:style w:type="character" w:customStyle="1" w:styleId="31">
    <w:name w:val="标题 3 字符"/>
    <w:basedOn w:val="27"/>
    <w:link w:val="4"/>
    <w:qFormat/>
    <w:uiPriority w:val="9"/>
    <w:rPr>
      <w:rFonts w:eastAsia="仿宋_GB2312" w:asciiTheme="majorHAnsi" w:hAnsiTheme="majorHAnsi" w:cstheme="majorBidi"/>
      <w:b/>
      <w:color w:val="000000" w:themeColor="text1"/>
      <w:sz w:val="30"/>
      <w:szCs w:val="32"/>
      <w14:textFill>
        <w14:solidFill>
          <w14:schemeClr w14:val="tx1"/>
        </w14:solidFill>
      </w14:textFill>
    </w:rPr>
  </w:style>
  <w:style w:type="character" w:customStyle="1" w:styleId="32">
    <w:name w:val="标题 4 字符"/>
    <w:basedOn w:val="27"/>
    <w:link w:val="5"/>
    <w:qFormat/>
    <w:uiPriority w:val="9"/>
    <w:rPr>
      <w:rFonts w:eastAsia="仿宋_GB2312" w:cstheme="majorBidi"/>
      <w:b/>
      <w:sz w:val="30"/>
      <w:szCs w:val="28"/>
    </w:rPr>
  </w:style>
  <w:style w:type="character" w:customStyle="1" w:styleId="33">
    <w:name w:val="标题 5 字符"/>
    <w:basedOn w:val="27"/>
    <w:link w:val="6"/>
    <w:semiHidden/>
    <w:qFormat/>
    <w:uiPriority w:val="9"/>
    <w:rPr>
      <w:rFonts w:cstheme="majorBidi"/>
      <w:color w:val="2E75B6" w:themeColor="accent1" w:themeShade="BF"/>
      <w:sz w:val="24"/>
      <w:szCs w:val="24"/>
    </w:rPr>
  </w:style>
  <w:style w:type="character" w:customStyle="1" w:styleId="34">
    <w:name w:val="标题 6 字符"/>
    <w:basedOn w:val="27"/>
    <w:link w:val="7"/>
    <w:semiHidden/>
    <w:qFormat/>
    <w:uiPriority w:val="9"/>
    <w:rPr>
      <w:rFonts w:cstheme="majorBidi"/>
      <w:b/>
      <w:bCs/>
      <w:color w:val="2E75B6" w:themeColor="accent1" w:themeShade="BF"/>
    </w:rPr>
  </w:style>
  <w:style w:type="character" w:customStyle="1" w:styleId="35">
    <w:name w:val="标题 7 字符"/>
    <w:basedOn w:val="2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6">
    <w:name w:val="标题 8 字符"/>
    <w:basedOn w:val="2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7">
    <w:name w:val="标题 9 字符"/>
    <w:basedOn w:val="2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8">
    <w:name w:val="标题 字符"/>
    <w:basedOn w:val="27"/>
    <w:link w:val="24"/>
    <w:qFormat/>
    <w:uiPriority w:val="10"/>
    <w:rPr>
      <w:rFonts w:asciiTheme="majorHAnsi" w:hAnsiTheme="majorHAnsi" w:eastAsiaTheme="majorEastAsia" w:cstheme="majorBidi"/>
      <w:spacing w:val="-10"/>
      <w:kern w:val="28"/>
      <w:sz w:val="56"/>
      <w:szCs w:val="56"/>
    </w:rPr>
  </w:style>
  <w:style w:type="character" w:customStyle="1" w:styleId="39">
    <w:name w:val="副标题 字符"/>
    <w:basedOn w:val="27"/>
    <w:link w:val="20"/>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40">
    <w:name w:val="Quote"/>
    <w:basedOn w:val="1"/>
    <w:next w:val="1"/>
    <w:link w:val="41"/>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41">
    <w:name w:val="引用 字符"/>
    <w:basedOn w:val="27"/>
    <w:link w:val="40"/>
    <w:qFormat/>
    <w:uiPriority w:val="29"/>
    <w:rPr>
      <w:i/>
      <w:iCs/>
      <w:color w:val="404040" w:themeColor="text1" w:themeTint="BF"/>
      <w14:textFill>
        <w14:solidFill>
          <w14:schemeClr w14:val="tx1">
            <w14:lumMod w14:val="75000"/>
            <w14:lumOff w14:val="25000"/>
          </w14:schemeClr>
        </w14:solidFill>
      </w14:textFill>
    </w:rPr>
  </w:style>
  <w:style w:type="paragraph" w:styleId="42">
    <w:name w:val="List Paragraph"/>
    <w:basedOn w:val="1"/>
    <w:qFormat/>
    <w:uiPriority w:val="34"/>
    <w:pPr>
      <w:ind w:left="720"/>
      <w:contextualSpacing/>
    </w:pPr>
  </w:style>
  <w:style w:type="character" w:customStyle="1" w:styleId="43">
    <w:name w:val="明显强调1"/>
    <w:basedOn w:val="27"/>
    <w:qFormat/>
    <w:uiPriority w:val="21"/>
    <w:rPr>
      <w:i/>
      <w:iCs/>
      <w:color w:val="2E75B6" w:themeColor="accent1" w:themeShade="BF"/>
    </w:rPr>
  </w:style>
  <w:style w:type="paragraph" w:styleId="44">
    <w:name w:val="Intense Quote"/>
    <w:basedOn w:val="1"/>
    <w:next w:val="1"/>
    <w:link w:val="45"/>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6" w:themeColor="accent1" w:themeShade="BF"/>
    </w:rPr>
  </w:style>
  <w:style w:type="character" w:customStyle="1" w:styleId="45">
    <w:name w:val="明显引用 字符"/>
    <w:basedOn w:val="27"/>
    <w:link w:val="44"/>
    <w:qFormat/>
    <w:uiPriority w:val="30"/>
    <w:rPr>
      <w:i/>
      <w:iCs/>
      <w:color w:val="2E75B6" w:themeColor="accent1" w:themeShade="BF"/>
    </w:rPr>
  </w:style>
  <w:style w:type="character" w:customStyle="1" w:styleId="46">
    <w:name w:val="明显参考1"/>
    <w:basedOn w:val="27"/>
    <w:qFormat/>
    <w:uiPriority w:val="32"/>
    <w:rPr>
      <w:b/>
      <w:bCs/>
      <w:smallCaps/>
      <w:color w:val="2E75B6" w:themeColor="accent1" w:themeShade="BF"/>
      <w:spacing w:val="5"/>
    </w:rPr>
  </w:style>
  <w:style w:type="character" w:customStyle="1" w:styleId="47">
    <w:name w:val="页眉 字符"/>
    <w:basedOn w:val="27"/>
    <w:link w:val="17"/>
    <w:qFormat/>
    <w:uiPriority w:val="99"/>
    <w:rPr>
      <w:rFonts w:eastAsia="仿宋_GB2312"/>
      <w:sz w:val="18"/>
      <w:szCs w:val="18"/>
    </w:rPr>
  </w:style>
  <w:style w:type="character" w:customStyle="1" w:styleId="48">
    <w:name w:val="页脚 字符"/>
    <w:basedOn w:val="27"/>
    <w:link w:val="16"/>
    <w:qFormat/>
    <w:uiPriority w:val="99"/>
    <w:rPr>
      <w:rFonts w:eastAsia="仿宋_GB2312"/>
      <w:sz w:val="18"/>
      <w:szCs w:val="18"/>
    </w:rPr>
  </w:style>
  <w:style w:type="paragraph" w:customStyle="1" w:styleId="49">
    <w:name w:val="表格"/>
    <w:basedOn w:val="1"/>
    <w:link w:val="50"/>
    <w:qFormat/>
    <w:uiPriority w:val="0"/>
    <w:pPr>
      <w:spacing w:line="400" w:lineRule="exact"/>
      <w:ind w:firstLine="0" w:firstLineChars="0"/>
    </w:pPr>
  </w:style>
  <w:style w:type="character" w:customStyle="1" w:styleId="50">
    <w:name w:val="表格 字符"/>
    <w:basedOn w:val="27"/>
    <w:link w:val="49"/>
    <w:qFormat/>
    <w:uiPriority w:val="0"/>
    <w:rPr>
      <w:rFonts w:eastAsia="仿宋_GB2312"/>
      <w:sz w:val="30"/>
    </w:rPr>
  </w:style>
  <w:style w:type="table" w:customStyle="1" w:styleId="51">
    <w:name w:val="无格式表格 21"/>
    <w:basedOn w:val="25"/>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character" w:customStyle="1" w:styleId="52">
    <w:name w:val="未处理的提及1"/>
    <w:basedOn w:val="27"/>
    <w:semiHidden/>
    <w:unhideWhenUsed/>
    <w:qFormat/>
    <w:uiPriority w:val="99"/>
    <w:rPr>
      <w:color w:val="605E5C"/>
      <w:shd w:val="clear" w:color="auto" w:fill="E1DFDD"/>
    </w:rPr>
  </w:style>
  <w:style w:type="table" w:customStyle="1" w:styleId="53">
    <w:name w:val="无格式表格 11"/>
    <w:basedOn w:val="25"/>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character" w:customStyle="1" w:styleId="54">
    <w:name w:val="未处理的提及2"/>
    <w:basedOn w:val="27"/>
    <w:semiHidden/>
    <w:unhideWhenUsed/>
    <w:qFormat/>
    <w:uiPriority w:val="99"/>
    <w:rPr>
      <w:color w:val="605E5C"/>
      <w:shd w:val="clear" w:color="auto" w:fill="E1DFDD"/>
    </w:rPr>
  </w:style>
  <w:style w:type="paragraph" w:customStyle="1" w:styleId="55">
    <w:name w:val="修订1"/>
    <w:hidden/>
    <w:unhideWhenUsed/>
    <w:qFormat/>
    <w:uiPriority w:val="99"/>
    <w:rPr>
      <w:rFonts w:eastAsia="仿宋_GB2312" w:asciiTheme="minorHAnsi" w:hAnsiTheme="minorHAnsi" w:cstheme="minorBidi"/>
      <w:kern w:val="2"/>
      <w:sz w:val="30"/>
      <w:szCs w:val="22"/>
      <w:lang w:val="en-US" w:eastAsia="zh-CN" w:bidi="ar-SA"/>
    </w:rPr>
  </w:style>
  <w:style w:type="table" w:customStyle="1" w:styleId="56">
    <w:name w:val="网格型浅色1"/>
    <w:basedOn w:val="25"/>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57">
    <w:name w:val="无格式表格 22"/>
    <w:basedOn w:val="25"/>
    <w:qFormat/>
    <w:uiPriority w:val="42"/>
    <w:rPr>
      <w:rFonts w:eastAsia="等线"/>
    </w:rPr>
    <w:tblPr>
      <w:tblBorders>
        <w:top w:val="single" w:color="7F7F7F" w:sz="4" w:space="0"/>
        <w:bottom w:val="single" w:color="7F7F7F" w:sz="4" w:space="0"/>
      </w:tblBorders>
    </w:tblPr>
    <w:tblStylePr w:type="firstRow">
      <w:rPr>
        <w:b/>
        <w:bCs/>
      </w:rPr>
      <w:tcPr>
        <w:tcBorders>
          <w:bottom w:val="single" w:color="7F7F7F" w:sz="4" w:space="0"/>
        </w:tcBorders>
      </w:tcPr>
    </w:tblStylePr>
    <w:tblStylePr w:type="lastRow">
      <w:rPr>
        <w:b/>
        <w:bCs/>
      </w:rPr>
      <w:tcPr>
        <w:tcBorders>
          <w:top w:val="single" w:color="7F7F7F" w:sz="4" w:space="0"/>
        </w:tcBorders>
      </w:tcPr>
    </w:tblStylePr>
    <w:tblStylePr w:type="firstCol">
      <w:rPr>
        <w:b/>
        <w:bCs/>
      </w:rPr>
    </w:tblStylePr>
    <w:tblStylePr w:type="lastCol">
      <w:rPr>
        <w:b/>
        <w:bCs/>
      </w:rPr>
    </w:tblStylePr>
    <w:tblStylePr w:type="band1Vert">
      <w:tcPr>
        <w:tcBorders>
          <w:left w:val="single" w:color="7F7F7F" w:sz="4" w:space="0"/>
          <w:right w:val="single" w:color="7F7F7F" w:sz="4" w:space="0"/>
        </w:tcBorders>
      </w:tcPr>
    </w:tblStylePr>
    <w:tblStylePr w:type="band2Vert">
      <w:tcPr>
        <w:tcBorders>
          <w:left w:val="single" w:color="7F7F7F" w:sz="4" w:space="0"/>
          <w:right w:val="single" w:color="7F7F7F" w:sz="4" w:space="0"/>
        </w:tcBorders>
      </w:tcPr>
    </w:tblStylePr>
    <w:tblStylePr w:type="band1Horz">
      <w:tcPr>
        <w:tcBorders>
          <w:top w:val="single" w:color="7F7F7F" w:sz="4" w:space="0"/>
          <w:bottom w:val="single" w:color="7F7F7F" w:sz="4" w:space="0"/>
        </w:tcBorders>
      </w:tcPr>
    </w:tblStylePr>
  </w:style>
  <w:style w:type="table" w:customStyle="1" w:styleId="58">
    <w:name w:val="无格式表格 23"/>
    <w:basedOn w:val="25"/>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character" w:customStyle="1" w:styleId="59">
    <w:name w:val="批注框文本 字符"/>
    <w:basedOn w:val="27"/>
    <w:link w:val="15"/>
    <w:semiHidden/>
    <w:qFormat/>
    <w:uiPriority w:val="99"/>
    <w:rPr>
      <w:rFonts w:eastAsia="仿宋_GB2312" w:asciiTheme="minorHAnsi" w:hAnsiTheme="minorHAnsi" w:cstheme="minorBidi"/>
      <w:kern w:val="2"/>
      <w:sz w:val="18"/>
      <w:szCs w:val="18"/>
    </w:rPr>
  </w:style>
  <w:style w:type="paragraph" w:customStyle="1" w:styleId="60">
    <w:name w:val="修订2"/>
    <w:hidden/>
    <w:unhideWhenUsed/>
    <w:qFormat/>
    <w:uiPriority w:val="99"/>
    <w:rPr>
      <w:rFonts w:eastAsia="仿宋_GB2312" w:asciiTheme="minorHAnsi" w:hAnsiTheme="minorHAnsi" w:cstheme="minorBidi"/>
      <w:kern w:val="2"/>
      <w:sz w:val="30"/>
      <w:szCs w:val="22"/>
      <w:lang w:val="en-US" w:eastAsia="zh-CN" w:bidi="ar-SA"/>
    </w:rPr>
  </w:style>
  <w:style w:type="paragraph" w:customStyle="1" w:styleId="61">
    <w:name w:val="修订3"/>
    <w:hidden/>
    <w:unhideWhenUsed/>
    <w:qFormat/>
    <w:uiPriority w:val="99"/>
    <w:rPr>
      <w:rFonts w:eastAsia="仿宋_GB2312" w:asciiTheme="minorHAnsi" w:hAnsiTheme="minorHAnsi" w:cstheme="minorBidi"/>
      <w:kern w:val="2"/>
      <w:sz w:val="30"/>
      <w:szCs w:val="22"/>
      <w:lang w:val="en-US" w:eastAsia="zh-CN" w:bidi="ar-SA"/>
    </w:rPr>
  </w:style>
  <w:style w:type="table" w:customStyle="1" w:styleId="62">
    <w:name w:val="无格式表格 24"/>
    <w:basedOn w:val="25"/>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table" w:customStyle="1" w:styleId="63">
    <w:name w:val="无格式表格 12"/>
    <w:basedOn w:val="25"/>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paragraph" w:customStyle="1" w:styleId="64">
    <w:name w:val="修订4"/>
    <w:hidden/>
    <w:unhideWhenUsed/>
    <w:qFormat/>
    <w:uiPriority w:val="99"/>
    <w:rPr>
      <w:rFonts w:eastAsia="仿宋_GB2312" w:asciiTheme="minorHAnsi" w:hAnsiTheme="minorHAnsi" w:cstheme="minorBidi"/>
      <w:kern w:val="2"/>
      <w:sz w:val="30"/>
      <w:szCs w:val="22"/>
      <w:lang w:val="en-US" w:eastAsia="zh-CN" w:bidi="ar-SA"/>
    </w:rPr>
  </w:style>
  <w:style w:type="table" w:customStyle="1" w:styleId="65">
    <w:name w:val="无格式表格 25"/>
    <w:basedOn w:val="25"/>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table" w:customStyle="1" w:styleId="66">
    <w:name w:val="无格式表格 251"/>
    <w:basedOn w:val="25"/>
    <w:qFormat/>
    <w:uiPriority w:val="42"/>
    <w:rPr>
      <w:rFonts w:ascii="Calibri" w:hAnsi="Calibri"/>
      <w:kern w:val="2"/>
      <w:sz w:val="21"/>
      <w:szCs w:val="22"/>
    </w:rPr>
    <w:tblPr>
      <w:tblBorders>
        <w:top w:val="single" w:color="7F7F7F" w:sz="4" w:space="0"/>
        <w:bottom w:val="single" w:color="7F7F7F" w:sz="4" w:space="0"/>
      </w:tblBorders>
    </w:tblPr>
    <w:tblStylePr w:type="firstRow">
      <w:rPr>
        <w:b/>
        <w:bCs/>
      </w:rPr>
      <w:tcPr>
        <w:tcBorders>
          <w:bottom w:val="single" w:color="7F7F7F" w:sz="4" w:space="0"/>
        </w:tcBorders>
      </w:tcPr>
    </w:tblStylePr>
    <w:tblStylePr w:type="lastRow">
      <w:rPr>
        <w:b/>
        <w:bCs/>
      </w:rPr>
      <w:tcPr>
        <w:tcBorders>
          <w:top w:val="single" w:color="7F7F7F" w:sz="4" w:space="0"/>
        </w:tcBorders>
      </w:tcPr>
    </w:tblStylePr>
    <w:tblStylePr w:type="firstCol">
      <w:rPr>
        <w:b/>
        <w:bCs/>
      </w:rPr>
    </w:tblStylePr>
    <w:tblStylePr w:type="lastCol">
      <w:rPr>
        <w:b/>
        <w:bCs/>
      </w:rPr>
    </w:tblStylePr>
    <w:tblStylePr w:type="band1Vert">
      <w:tcPr>
        <w:tcBorders>
          <w:left w:val="single" w:color="7F7F7F" w:sz="4" w:space="0"/>
          <w:right w:val="single" w:color="7F7F7F" w:sz="4" w:space="0"/>
        </w:tcBorders>
      </w:tcPr>
    </w:tblStylePr>
    <w:tblStylePr w:type="band2Vert">
      <w:tcPr>
        <w:tcBorders>
          <w:left w:val="single" w:color="7F7F7F" w:sz="4" w:space="0"/>
          <w:right w:val="single" w:color="7F7F7F" w:sz="4" w:space="0"/>
        </w:tcBorders>
      </w:tcPr>
    </w:tblStylePr>
    <w:tblStylePr w:type="band1Horz">
      <w:tcPr>
        <w:tcBorders>
          <w:top w:val="single" w:color="7F7F7F" w:sz="4" w:space="0"/>
          <w:bottom w:val="single" w:color="7F7F7F" w:sz="4" w:space="0"/>
        </w:tcBorders>
      </w:tcPr>
    </w:tblStylePr>
  </w:style>
  <w:style w:type="table" w:customStyle="1" w:styleId="67">
    <w:name w:val="无格式表格 26"/>
    <w:basedOn w:val="25"/>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paragraph" w:customStyle="1" w:styleId="68">
    <w:name w:val="修订5"/>
    <w:hidden/>
    <w:unhideWhenUsed/>
    <w:qFormat/>
    <w:uiPriority w:val="99"/>
    <w:rPr>
      <w:rFonts w:eastAsia="仿宋_GB2312" w:asciiTheme="minorHAnsi" w:hAnsiTheme="minorHAnsi" w:cstheme="minorBidi"/>
      <w:kern w:val="2"/>
      <w:sz w:val="30"/>
      <w:szCs w:val="22"/>
      <w:lang w:val="en-US" w:eastAsia="zh-CN" w:bidi="ar-SA"/>
    </w:rPr>
  </w:style>
  <w:style w:type="paragraph" w:styleId="69">
    <w:name w:val="No Spacing"/>
    <w:link w:val="70"/>
    <w:qFormat/>
    <w:uiPriority w:val="1"/>
    <w:rPr>
      <w:rFonts w:asciiTheme="minorHAnsi" w:hAnsiTheme="minorHAnsi" w:eastAsiaTheme="minorEastAsia" w:cstheme="minorBidi"/>
      <w:sz w:val="22"/>
      <w:szCs w:val="22"/>
      <w:lang w:val="en-US" w:eastAsia="zh-CN" w:bidi="ar-SA"/>
    </w:rPr>
  </w:style>
  <w:style w:type="character" w:customStyle="1" w:styleId="70">
    <w:name w:val="无间隔 字符"/>
    <w:basedOn w:val="27"/>
    <w:link w:val="69"/>
    <w:qFormat/>
    <w:uiPriority w:val="1"/>
    <w:rPr>
      <w:rFonts w:asciiTheme="minorHAnsi" w:hAnsiTheme="minorHAnsi" w:eastAsiaTheme="minorEastAsia" w:cstheme="minorBidi"/>
      <w:sz w:val="22"/>
      <w:szCs w:val="22"/>
    </w:rPr>
  </w:style>
  <w:style w:type="paragraph" w:customStyle="1" w:styleId="71">
    <w:name w:val="修订6"/>
    <w:hidden/>
    <w:semiHidden/>
    <w:qFormat/>
    <w:uiPriority w:val="99"/>
    <w:rPr>
      <w:rFonts w:eastAsia="仿宋_GB2312" w:asciiTheme="minorHAnsi" w:hAnsiTheme="minorHAnsi" w:cstheme="minorBidi"/>
      <w:kern w:val="2"/>
      <w:sz w:val="30"/>
      <w:szCs w:val="22"/>
      <w:lang w:val="en-US" w:eastAsia="zh-CN" w:bidi="ar-SA"/>
    </w:rPr>
  </w:style>
  <w:style w:type="paragraph" w:customStyle="1" w:styleId="72">
    <w:name w:val="Revision"/>
    <w:hidden/>
    <w:unhideWhenUsed/>
    <w:qFormat/>
    <w:uiPriority w:val="99"/>
    <w:rPr>
      <w:rFonts w:eastAsia="仿宋_GB2312" w:asciiTheme="minorHAnsi" w:hAnsiTheme="minorHAnsi" w:cstheme="minorBidi"/>
      <w:kern w:val="2"/>
      <w:sz w:val="30"/>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34</Pages>
  <Words>2746</Words>
  <Characters>15654</Characters>
  <Lines>130</Lines>
  <Paragraphs>36</Paragraphs>
  <TotalTime>5</TotalTime>
  <ScaleCrop>false</ScaleCrop>
  <LinksUpToDate>false</LinksUpToDate>
  <CharactersWithSpaces>18364</CharactersWithSpaces>
  <Application>WPS Office_11.8.2.1122_F1E327BC-269C-435d-A152-05C5408002CA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2026-09-20T23:59:00Z</dcterms:created>
  <dc:creator>DB6044</dc:creator>
  <cp:lastModifiedBy>lenovo</cp:lastModifiedBy>
  <cp:lastPrinted>2026-09-24T00:29:00Z</cp:lastPrinted>
  <dcterms:modified xsi:type="dcterms:W3CDTF">2026-09-24T10:26:18Z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2052-11.8.2.1122</vt:lpwstr>
  </property>
  <property fmtid="{D5CDD505-2E9C-101B-9397-08002B2CF9AE}" pid="3" name="ICV">
    <vt:lpwstr>C7B6890F7D354CC99D788EAAFB37AB82_13</vt:lpwstr>
  </property>
  <property fmtid="{D5CDD505-2E9C-101B-9397-08002B2CF9AE}" pid="4" name="KSOTemplateDocerSaveRecord">
    <vt:lpwstr>eyJoZGlkIjoiODczM2ZkOTMyNmE3OWJiMjNhNWVjN2Y0ZjgxZDI2NzYiLCJ1c2VySWQiOiI1OTQxMjYzMzQifQ==</vt:lpwstr>
  </property>
</Properties>
</file>