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5A5FBE">
      <w:pPr>
        <w:keepNext w:val="0"/>
        <w:keepLines w:val="0"/>
        <w:pageBreakBefore w:val="0"/>
        <w:widowControl w:val="0"/>
        <w:kinsoku/>
        <w:wordWrap/>
        <w:overflowPunct/>
        <w:topLinePunct w:val="0"/>
        <w:autoSpaceDE/>
        <w:autoSpaceDN/>
        <w:bidi w:val="0"/>
        <w:adjustRightInd/>
        <w:snapToGrid/>
        <w:jc w:val="both"/>
        <w:textAlignment w:val="auto"/>
        <w:rPr>
          <w:rFonts w:hint="eastAsia" w:ascii="黑体" w:hAnsi="黑体" w:eastAsia="黑体" w:cs="黑体"/>
          <w:b/>
          <w:bCs/>
          <w:sz w:val="32"/>
          <w:szCs w:val="32"/>
          <w:lang w:val="en-US" w:eastAsia="zh-CN"/>
        </w:rPr>
      </w:pPr>
      <w:r>
        <w:rPr>
          <w:rFonts w:hint="eastAsia" w:ascii="黑体" w:hAnsi="黑体" w:eastAsia="黑体" w:cs="黑体"/>
          <w:b w:val="0"/>
          <w:bCs w:val="0"/>
          <w:sz w:val="32"/>
          <w:szCs w:val="32"/>
          <w:lang w:val="en-US" w:eastAsia="zh-CN"/>
        </w:rPr>
        <w:t>附件2</w:t>
      </w:r>
    </w:p>
    <w:p w14:paraId="6108B266">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_GB2312" w:hAnsi="仿宋_GB2312" w:eastAsia="仿宋_GB2312" w:cs="仿宋_GB2312"/>
          <w:b/>
          <w:bCs/>
          <w:sz w:val="44"/>
          <w:szCs w:val="44"/>
          <w:lang w:eastAsia="zh-CN"/>
        </w:rPr>
      </w:pPr>
      <w:r>
        <w:rPr>
          <w:rFonts w:hint="eastAsia" w:ascii="方正小标宋_GBK" w:hAnsi="方正小标宋_GBK" w:eastAsia="方正小标宋_GBK" w:cs="方正小标宋_GBK"/>
          <w:b w:val="0"/>
          <w:bCs w:val="0"/>
          <w:sz w:val="36"/>
          <w:szCs w:val="36"/>
          <w:lang w:eastAsia="zh-CN"/>
        </w:rPr>
        <w:t>医药机构申请医疗保障定点相关事宜</w:t>
      </w:r>
    </w:p>
    <w:p w14:paraId="0BB2D288">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2"/>
          <w:szCs w:val="32"/>
          <w:lang w:eastAsia="zh-CN"/>
        </w:rPr>
      </w:pPr>
    </w:p>
    <w:p w14:paraId="1EE1AFE1">
      <w:pPr>
        <w:keepNext w:val="0"/>
        <w:keepLines w:val="0"/>
        <w:pageBreakBefore w:val="0"/>
        <w:widowControl w:val="0"/>
        <w:kinsoku/>
        <w:wordWrap/>
        <w:overflowPunct/>
        <w:topLinePunct w:val="0"/>
        <w:autoSpaceDE/>
        <w:autoSpaceDN/>
        <w:bidi w:val="0"/>
        <w:adjustRightInd/>
        <w:snapToGrid/>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一、医疗机构</w:t>
      </w:r>
    </w:p>
    <w:p w14:paraId="62515493">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申请医保定点的医疗机构应当同时具备以下基本条件：</w:t>
      </w:r>
      <w:bookmarkStart w:id="0" w:name="_GoBack"/>
      <w:bookmarkEnd w:id="0"/>
    </w:p>
    <w:p w14:paraId="6638CC19">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正式运营至少3个月；</w:t>
      </w:r>
    </w:p>
    <w:p w14:paraId="7FA6A2A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至少有1名取得医师执业证书、乡村医生执业证书或中医（专长）医师资格证书且第一注册地在该医疗机构的医师；</w:t>
      </w:r>
    </w:p>
    <w:p w14:paraId="6AE65A0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主要负责人负责医保工作，配备专（兼）职医保管理人员；100张床位以上的医疗机构应设内部医保管理部门，安排专职工作人员；</w:t>
      </w:r>
    </w:p>
    <w:p w14:paraId="7591280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具有符合医保协议管理要求的医保管理制度、财务制度、统计信息管理制度、医疗质量安全核心制度等；</w:t>
      </w:r>
    </w:p>
    <w:p w14:paraId="24E96C3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具有符合医保协议管理要求的医院信息系统技术和接口标准，实现与医保信息系统有效对接，按要求向医保信息系统传送全部就诊人员相关信息，为参保人员提供直接联网结算。设立医保药品、诊疗项目、医疗服务设施、医用耗材、疾病病种等基础数据库，按规定使用国家统一的医保编码；</w:t>
      </w:r>
    </w:p>
    <w:p w14:paraId="3FC80C2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符合法律法规和省级及以上医疗保障行政部门规定的其他条件。</w:t>
      </w:r>
    </w:p>
    <w:p w14:paraId="646AF72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医疗机构有下列情形之一的，不予受理定点申请：</w:t>
      </w:r>
    </w:p>
    <w:p w14:paraId="47AEA3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以医疗美容、辅助生殖、生活照护、种植牙等非基本医疗服务为主要执业范围的；</w:t>
      </w:r>
    </w:p>
    <w:p w14:paraId="39D4217B">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基本医疗服务未执行医疗保障行政部门制定的医药价格政策的；</w:t>
      </w:r>
    </w:p>
    <w:p w14:paraId="041BCB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未依法履行行政处罚责任的；</w:t>
      </w:r>
    </w:p>
    <w:p w14:paraId="5C64D34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以弄虚作假等不正当手段申请定点，自发现之日起未满3年的；</w:t>
      </w:r>
    </w:p>
    <w:p w14:paraId="400BD2C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因违法违规被解除医保协议未满3年或已满3年但未完全履行行政处罚法律责任的；</w:t>
      </w:r>
    </w:p>
    <w:p w14:paraId="679A11C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因严重违反医保协议约定而被解除协议未满1年或已满1年但未完全履行违约责任的；</w:t>
      </w:r>
    </w:p>
    <w:p w14:paraId="56E586B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法定代表人、主要负责人或实际控制人曾因严重违法违规导致原定点医疗机构被解除医保协议，未满5年的；</w:t>
      </w:r>
    </w:p>
    <w:p w14:paraId="6C807A4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法定代表人、主要负责人或实际控制人被列入失信人名单的；</w:t>
      </w:r>
    </w:p>
    <w:p w14:paraId="40E447B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法律法规规定的其他不予受理的情形。</w:t>
      </w:r>
    </w:p>
    <w:p w14:paraId="698CECA9">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（三）申请材料及要求</w:t>
      </w:r>
    </w:p>
    <w:p w14:paraId="6653F01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定点医疗机构申请表</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sz w:val="32"/>
          <w:szCs w:val="32"/>
        </w:rPr>
        <w:t>申请表</w:t>
      </w:r>
      <w:r>
        <w:rPr>
          <w:rFonts w:hint="eastAsia" w:ascii="仿宋_GB2312" w:hAnsi="仿宋_GB2312" w:eastAsia="仿宋_GB2312" w:cs="仿宋_GB2312"/>
          <w:sz w:val="32"/>
          <w:szCs w:val="32"/>
          <w:lang w:eastAsia="zh-CN"/>
        </w:rPr>
        <w:t>可从</w:t>
      </w:r>
      <w:r>
        <w:rPr>
          <w:rFonts w:hint="eastAsia" w:ascii="仿宋_GB2312" w:hAnsi="仿宋_GB2312" w:eastAsia="仿宋_GB2312" w:cs="仿宋_GB2312"/>
          <w:sz w:val="32"/>
          <w:szCs w:val="32"/>
          <w:lang w:val="en-US" w:eastAsia="zh-CN"/>
        </w:rPr>
        <w:t>福建医保公共服务网上服务大厅</w:t>
      </w:r>
      <w:r>
        <w:rPr>
          <w:rFonts w:hint="eastAsia" w:ascii="仿宋_GB2312" w:hAnsi="仿宋_GB2312" w:eastAsia="仿宋_GB2312" w:cs="仿宋_GB2312"/>
          <w:sz w:val="32"/>
          <w:szCs w:val="32"/>
          <w:shd w:val="clear" w:color="auto" w:fill="auto"/>
          <w:lang w:val="en-US" w:eastAsia="zh-Hans"/>
        </w:rPr>
        <w:t>定点协议管理</w:t>
      </w:r>
      <w:r>
        <w:rPr>
          <w:rFonts w:hint="eastAsia" w:ascii="仿宋_GB2312" w:hAnsi="仿宋_GB2312" w:eastAsia="仿宋_GB2312" w:cs="仿宋_GB2312"/>
          <w:sz w:val="32"/>
          <w:szCs w:val="32"/>
          <w:shd w:val="clear" w:color="auto" w:fill="auto"/>
          <w:lang w:val="en-US" w:eastAsia="zh-CN"/>
        </w:rPr>
        <w:t>模块下载，申请机构按实、完整填写，申请日期需与系统提交日期一致，加盖单位公章后扫描上传。</w:t>
      </w:r>
    </w:p>
    <w:p w14:paraId="2F577E3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医疗机构执业许可证或中医诊所备案证或军队医疗机构为民服务许可证照</w:t>
      </w:r>
      <w:r>
        <w:rPr>
          <w:rFonts w:hint="eastAsia" w:ascii="仿宋_GB2312" w:hAnsi="仿宋_GB2312" w:eastAsia="仿宋_GB2312" w:cs="仿宋_GB2312"/>
          <w:sz w:val="32"/>
          <w:szCs w:val="32"/>
          <w:lang w:eastAsia="zh-CN"/>
        </w:rPr>
        <w:t>。正、副本证照完整扫描上传；诊所上传诊所备案凭证。</w:t>
      </w:r>
    </w:p>
    <w:p w14:paraId="787939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与医保政策对应的内部管理制度和财务制度文本</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lang w:val="en-US" w:eastAsia="zh-CN"/>
        </w:rPr>
        <w:t>《福建省医疗保障局关于印发医疗保障定点医药机构评估细则的通知》（闽医保规〔2024〕9号）核查要点要求，本项提供的制度需包含与医保政策对应的医保管理制度、财务制度、统计信息管理制度、医疗质量安全核心制度等，制度中不体现申请机构名称信息，无需加盖公章。</w:t>
      </w:r>
    </w:p>
    <w:p w14:paraId="015D86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与医保有关的医疗机构信息系统相关材料</w:t>
      </w:r>
      <w:r>
        <w:rPr>
          <w:rFonts w:hint="eastAsia" w:ascii="仿宋_GB2312" w:hAnsi="仿宋_GB2312" w:eastAsia="仿宋_GB2312" w:cs="仿宋_GB2312"/>
          <w:sz w:val="32"/>
          <w:szCs w:val="32"/>
          <w:lang w:eastAsia="zh-CN"/>
        </w:rPr>
        <w:t>。需提供能体现已配备开展医保直接联网结算计算机等信息系统的相关材料。</w:t>
      </w:r>
    </w:p>
    <w:p w14:paraId="283D089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纳入定点后使用医疗保障基金的预测性分析报告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分析报告</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lang w:val="en-US" w:eastAsia="zh-CN"/>
        </w:rPr>
        <w:t>加盖公章后扫描上传。</w:t>
      </w:r>
    </w:p>
    <w:p w14:paraId="162EDB1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（四）医疗机构的药学及医技等专业技术人员注册情况以其医社保缴交情况进行认定。</w:t>
      </w:r>
    </w:p>
    <w:p w14:paraId="450801D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二、零售药店</w:t>
      </w:r>
    </w:p>
    <w:p w14:paraId="5B6D3954">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（一）</w:t>
      </w:r>
      <w:r>
        <w:rPr>
          <w:rFonts w:hint="eastAsia" w:ascii="仿宋_GB2312" w:hAnsi="仿宋_GB2312" w:eastAsia="仿宋_GB2312" w:cs="仿宋_GB2312"/>
          <w:b/>
          <w:bCs/>
          <w:sz w:val="32"/>
          <w:szCs w:val="32"/>
        </w:rPr>
        <w:t>  同时符合以下条件的零售药店可申请医疗保障定点：</w:t>
      </w:r>
    </w:p>
    <w:p w14:paraId="6C4C745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在注册地址正式经营至少3个月；</w:t>
      </w:r>
    </w:p>
    <w:p w14:paraId="4F127B85">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至少有1名取得执业药师资格证书或具有药学、临床药学、中药学专业技术资格证书的药师，且注册地在该零售药店所在地，药师须签订1年以上劳动合同且在合同期内；</w:t>
      </w:r>
    </w:p>
    <w:p w14:paraId="42C296E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至少有2名熟悉医疗保障法律法规和相关制度规定的专（兼）职医保管理人员负责管理医保费用，并签订1年以上劳动合同且在合同期内；</w:t>
      </w:r>
    </w:p>
    <w:p w14:paraId="1EF193C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按药品经营质量管理规范要求，开展药品分类分区管理，并对所售药品设立明确的医保用药标识；</w:t>
      </w:r>
    </w:p>
    <w:p w14:paraId="3E2E16E0">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具有符合医保协议管理要求的医保药品管理制度、财务管理制度、医保人员管理制度、统计信息管理制度和医保费用结算制度；</w:t>
      </w:r>
    </w:p>
    <w:p w14:paraId="2377804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具备符合医保协议管理要求的信息系统技术和接口标准，实现与医保信息系统有效对接，为参保人员提供直接联网结算，建立医保药品等基础数据库，按规定使用国家统一医保编码；</w:t>
      </w:r>
    </w:p>
    <w:p w14:paraId="4DFFEE8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符合法律法规和省级及以上医疗保障行政部门规定的其他条件。</w:t>
      </w:r>
    </w:p>
    <w:p w14:paraId="3E53A455">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零售药店有下列情形之一的，不予受理定点申请：</w:t>
      </w:r>
    </w:p>
    <w:p w14:paraId="53716ABC">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1.</w:t>
      </w:r>
      <w:r>
        <w:rPr>
          <w:rFonts w:hint="eastAsia" w:ascii="仿宋_GB2312" w:hAnsi="仿宋_GB2312" w:eastAsia="仿宋_GB2312" w:cs="仿宋_GB2312"/>
          <w:sz w:val="32"/>
          <w:szCs w:val="32"/>
        </w:rPr>
        <w:t>未依法履行行政处罚责任的；</w:t>
      </w:r>
    </w:p>
    <w:p w14:paraId="0E29864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以弄虚作假等不正当手段申请定点，自发现之日起未满3年的；</w:t>
      </w:r>
    </w:p>
    <w:p w14:paraId="466DE38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因违法违规被解除医保协议未满3年或已满3年但未完全履行行政处罚法律责任的；</w:t>
      </w:r>
    </w:p>
    <w:p w14:paraId="42DC2D1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因严重违反医保协议约定而被解除医保协议未满1年或已满1年但未完全履行违约责任的；</w:t>
      </w:r>
    </w:p>
    <w:p w14:paraId="05E88D2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法定代表人、企业负责人或实际控制人曾因严重违法违规导致原定点零售药店被解除医保协议，未满5年的；</w:t>
      </w:r>
    </w:p>
    <w:p w14:paraId="05FD10D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法定代表人、企业负责人或实际控制人被列入失信人名单的；</w:t>
      </w:r>
    </w:p>
    <w:p w14:paraId="259D6C0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法律法规规定的其他不予受理的情形。</w:t>
      </w:r>
    </w:p>
    <w:p w14:paraId="159EC55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eastAsia="zh-CN"/>
        </w:rPr>
        <w:t>（三）申请材料及要求</w:t>
      </w:r>
    </w:p>
    <w:p w14:paraId="7334B1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shd w:val="clear" w:color="auto" w:fill="auto"/>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定点零售药店申请表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申请表</w:t>
      </w:r>
      <w:r>
        <w:rPr>
          <w:rFonts w:hint="eastAsia" w:ascii="仿宋_GB2312" w:hAnsi="仿宋_GB2312" w:eastAsia="仿宋_GB2312" w:cs="仿宋_GB2312"/>
          <w:sz w:val="32"/>
          <w:szCs w:val="32"/>
          <w:lang w:eastAsia="zh-CN"/>
        </w:rPr>
        <w:t>可从</w:t>
      </w:r>
      <w:r>
        <w:rPr>
          <w:rFonts w:hint="eastAsia" w:ascii="仿宋_GB2312" w:hAnsi="仿宋_GB2312" w:eastAsia="仿宋_GB2312" w:cs="仿宋_GB2312"/>
          <w:sz w:val="32"/>
          <w:szCs w:val="32"/>
          <w:lang w:val="en-US" w:eastAsia="zh-CN"/>
        </w:rPr>
        <w:t>福建医保公共服务网上服务大厅</w:t>
      </w:r>
      <w:r>
        <w:rPr>
          <w:rFonts w:hint="eastAsia" w:ascii="仿宋_GB2312" w:hAnsi="仿宋_GB2312" w:eastAsia="仿宋_GB2312" w:cs="仿宋_GB2312"/>
          <w:sz w:val="32"/>
          <w:szCs w:val="32"/>
          <w:shd w:val="clear" w:color="auto" w:fill="auto"/>
          <w:lang w:val="en-US" w:eastAsia="zh-Hans"/>
        </w:rPr>
        <w:t>定点协议管理</w:t>
      </w:r>
      <w:r>
        <w:rPr>
          <w:rFonts w:hint="eastAsia" w:ascii="仿宋_GB2312" w:hAnsi="仿宋_GB2312" w:eastAsia="仿宋_GB2312" w:cs="仿宋_GB2312"/>
          <w:sz w:val="32"/>
          <w:szCs w:val="32"/>
          <w:shd w:val="clear" w:color="auto" w:fill="auto"/>
          <w:lang w:val="en-US" w:eastAsia="zh-CN"/>
        </w:rPr>
        <w:t>模块下载，申请机构按实、完整填写，申请日期需与系统提交日期一致，加盖单位公章后扫描上传。</w:t>
      </w:r>
    </w:p>
    <w:p w14:paraId="4F675D2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药品经营许可证、营业执照和法定代表人、主要负责人或实际控制人身份证</w:t>
      </w:r>
      <w:r>
        <w:rPr>
          <w:rFonts w:hint="eastAsia" w:ascii="仿宋_GB2312" w:hAnsi="仿宋_GB2312" w:eastAsia="仿宋_GB2312" w:cs="仿宋_GB2312"/>
          <w:sz w:val="32"/>
          <w:szCs w:val="32"/>
          <w:lang w:eastAsia="zh-CN"/>
        </w:rPr>
        <w:t>。正、副本证照完整扫描上传；</w:t>
      </w:r>
      <w:r>
        <w:rPr>
          <w:rFonts w:hint="eastAsia" w:ascii="仿宋_GB2312" w:hAnsi="仿宋_GB2312" w:eastAsia="仿宋_GB2312" w:cs="仿宋_GB2312"/>
          <w:sz w:val="32"/>
          <w:szCs w:val="32"/>
        </w:rPr>
        <w:t>法定代表人、主要负责人或实际控制人身份证</w:t>
      </w:r>
      <w:r>
        <w:rPr>
          <w:rFonts w:hint="eastAsia" w:ascii="仿宋_GB2312" w:hAnsi="仿宋_GB2312" w:eastAsia="仿宋_GB2312" w:cs="仿宋_GB2312"/>
          <w:sz w:val="32"/>
          <w:szCs w:val="32"/>
          <w:lang w:eastAsia="zh-CN"/>
        </w:rPr>
        <w:t>正、反面完整扫描上传。连锁药店另需提供总部相关证照。</w:t>
      </w:r>
    </w:p>
    <w:p w14:paraId="181C707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执业药师资格证书或药学技术人员相关证书及其劳动合同</w:t>
      </w:r>
      <w:r>
        <w:rPr>
          <w:rFonts w:hint="eastAsia" w:ascii="仿宋_GB2312" w:hAnsi="仿宋_GB2312" w:eastAsia="仿宋_GB2312" w:cs="仿宋_GB2312"/>
          <w:sz w:val="32"/>
          <w:szCs w:val="32"/>
          <w:lang w:eastAsia="zh-CN"/>
        </w:rPr>
        <w:t>。人员相关证书</w:t>
      </w:r>
      <w:r>
        <w:rPr>
          <w:rFonts w:hint="eastAsia" w:ascii="仿宋_GB2312" w:hAnsi="仿宋_GB2312" w:eastAsia="仿宋_GB2312" w:cs="仿宋_GB2312"/>
          <w:sz w:val="32"/>
          <w:szCs w:val="32"/>
        </w:rPr>
        <w:t>及其劳动合同</w:t>
      </w:r>
      <w:r>
        <w:rPr>
          <w:rFonts w:hint="eastAsia" w:ascii="仿宋_GB2312" w:hAnsi="仿宋_GB2312" w:eastAsia="仿宋_GB2312" w:cs="仿宋_GB2312"/>
          <w:sz w:val="32"/>
          <w:szCs w:val="32"/>
          <w:lang w:eastAsia="zh-CN"/>
        </w:rPr>
        <w:t>完整扫描上传。</w:t>
      </w:r>
    </w:p>
    <w:p w14:paraId="13A7B63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医保专（兼）职管理人员的劳动合同复印件</w:t>
      </w:r>
      <w:r>
        <w:rPr>
          <w:rFonts w:hint="eastAsia" w:ascii="仿宋_GB2312" w:hAnsi="仿宋_GB2312" w:eastAsia="仿宋_GB2312" w:cs="仿宋_GB2312"/>
          <w:sz w:val="32"/>
          <w:szCs w:val="32"/>
          <w:lang w:eastAsia="zh-CN"/>
        </w:rPr>
        <w:t>。劳动合同完整扫描上传，其中</w:t>
      </w:r>
      <w:r>
        <w:rPr>
          <w:rFonts w:hint="eastAsia" w:ascii="仿宋_GB2312" w:hAnsi="仿宋_GB2312" w:eastAsia="仿宋_GB2312" w:cs="仿宋_GB2312"/>
          <w:sz w:val="32"/>
          <w:szCs w:val="32"/>
          <w:lang w:val="en-US" w:eastAsia="zh-CN"/>
        </w:rPr>
        <w:t>岗位及职责应体现为医保管理人员，从事医保相关工作。</w:t>
      </w:r>
    </w:p>
    <w:p w14:paraId="77706E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与医疗保障政策对应的内部管理制度和财务制度文本</w:t>
      </w:r>
      <w:r>
        <w:rPr>
          <w:rFonts w:hint="eastAsia" w:ascii="仿宋_GB2312" w:hAnsi="仿宋_GB2312" w:eastAsia="仿宋_GB2312" w:cs="仿宋_GB2312"/>
          <w:sz w:val="32"/>
          <w:szCs w:val="32"/>
          <w:lang w:eastAsia="zh-CN"/>
        </w:rPr>
        <w:t>。根据</w:t>
      </w:r>
      <w:r>
        <w:rPr>
          <w:rFonts w:hint="eastAsia" w:ascii="仿宋_GB2312" w:hAnsi="仿宋_GB2312" w:eastAsia="仿宋_GB2312" w:cs="仿宋_GB2312"/>
          <w:sz w:val="32"/>
          <w:szCs w:val="32"/>
          <w:lang w:val="en-US" w:eastAsia="zh-CN"/>
        </w:rPr>
        <w:t>《福建省医疗保障局关于印发医疗保障定点医药机构评估细则的通知》（闽医保规〔2024〕9号）核查要点要求，本项提供的制度需包含与医疗保障政策对应的医保药品管理制度、财务管理制度、医保人员管理制度、统计信息管理制度和医保费用结算制度，制度中不体现申请机构名称信息，无需加盖公章。</w:t>
      </w:r>
    </w:p>
    <w:p w14:paraId="731ADF1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与医保有关的信息系统相关材料</w:t>
      </w:r>
      <w:r>
        <w:rPr>
          <w:rFonts w:hint="eastAsia" w:ascii="仿宋_GB2312" w:hAnsi="仿宋_GB2312" w:eastAsia="仿宋_GB2312" w:cs="仿宋_GB2312"/>
          <w:sz w:val="32"/>
          <w:szCs w:val="32"/>
          <w:lang w:eastAsia="zh-CN"/>
        </w:rPr>
        <w:t>。需提供能体现已配备开展医保直接联网结算计算机等信息系统的相关材料。</w:t>
      </w:r>
    </w:p>
    <w:p w14:paraId="25F93F07">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纳入定点后使用医疗保障基金的预测性分析报告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分析报告</w:t>
      </w:r>
      <w:r>
        <w:rPr>
          <w:rFonts w:hint="eastAsia" w:ascii="仿宋_GB2312" w:hAnsi="仿宋_GB2312" w:eastAsia="仿宋_GB2312" w:cs="仿宋_GB2312"/>
          <w:sz w:val="32"/>
          <w:szCs w:val="32"/>
          <w:lang w:eastAsia="zh-CN"/>
        </w:rPr>
        <w:t>需</w:t>
      </w:r>
      <w:r>
        <w:rPr>
          <w:rFonts w:hint="eastAsia" w:ascii="仿宋_GB2312" w:hAnsi="仿宋_GB2312" w:eastAsia="仿宋_GB2312" w:cs="仿宋_GB2312"/>
          <w:sz w:val="32"/>
          <w:szCs w:val="32"/>
          <w:lang w:val="en-US" w:eastAsia="zh-CN"/>
        </w:rPr>
        <w:t>加盖公章后扫描上传。</w:t>
      </w:r>
    </w:p>
    <w:p w14:paraId="57B7D9E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（四）零售药店具有药学、临床药学、中药学专业技术资格证书的药师注册情况以其医社保缴交情况进行认定。</w:t>
      </w:r>
    </w:p>
    <w:p w14:paraId="46A93D09">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sz w:val="32"/>
          <w:szCs w:val="32"/>
          <w:lang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C36C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290E6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290E6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2BDD0">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kM2UzN2QzM2U2NGIxMGUwZjZlYTI5Y2RjOThhZTQifQ=="/>
  </w:docVars>
  <w:rsids>
    <w:rsidRoot w:val="00000000"/>
    <w:rsid w:val="0D041C93"/>
    <w:rsid w:val="11620127"/>
    <w:rsid w:val="13D71C49"/>
    <w:rsid w:val="16B0772A"/>
    <w:rsid w:val="24AF75D6"/>
    <w:rsid w:val="27B42EC0"/>
    <w:rsid w:val="329C75A9"/>
    <w:rsid w:val="38012092"/>
    <w:rsid w:val="39B803C2"/>
    <w:rsid w:val="3ADA59AC"/>
    <w:rsid w:val="3CB12CA0"/>
    <w:rsid w:val="3ECC2EBA"/>
    <w:rsid w:val="50585473"/>
    <w:rsid w:val="58250309"/>
    <w:rsid w:val="63714428"/>
    <w:rsid w:val="67E40FE7"/>
    <w:rsid w:val="6C8B21BF"/>
    <w:rsid w:val="75713544"/>
    <w:rsid w:val="76232E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widowControl w:val="0"/>
      <w:spacing w:before="340" w:after="330" w:line="578" w:lineRule="auto"/>
      <w:jc w:val="both"/>
      <w:outlineLvl w:val="0"/>
    </w:pPr>
    <w:rPr>
      <w:rFonts w:ascii="Calibri" w:hAnsi="Calibri" w:eastAsia="宋体" w:cs="Times New Roman"/>
      <w:b/>
      <w:bCs/>
      <w:kern w:val="44"/>
      <w:sz w:val="44"/>
      <w:szCs w:val="4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2</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2026-01-14T07:12:00Z</dcterms:created>
  <dc:creator>Administrator</dc:creator>
  <cp:lastModifiedBy>Administrator</cp:lastModifiedBy>
  <cp:lastPrinted>2026-05-22T08:13:51Z</cp:lastPrinted>
  <dcterms:modified xsi:type="dcterms:W3CDTF">2026-05-22T08:13:53Z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81D46F3C9FAF4EE79E3CFB02E3B98435_12</vt:lpwstr>
  </property>
  <property fmtid="{D5CDD505-2E9C-101B-9397-08002B2CF9AE}" pid="4" name="KSOTemplateDocerSaveRecord">
    <vt:lpwstr>eyJoZGlkIjoiMDQyY2ViMDljMjk2MTRiNTdkOGJiODQwMDc3MjQ4MmIifQ==</vt:lpwstr>
  </property>
</Properties>
</file>