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9FA2B">
      <w:pPr>
        <w:jc w:val="center"/>
        <w:rPr>
          <w:rFonts w:hint="eastAsia"/>
          <w:sz w:val="44"/>
          <w:szCs w:val="44"/>
          <w:lang w:eastAsia="zh-CN"/>
        </w:rPr>
      </w:pPr>
      <w:r>
        <w:rPr>
          <w:rFonts w:hint="eastAsia"/>
          <w:sz w:val="44"/>
          <w:szCs w:val="44"/>
          <w:lang w:eastAsia="zh-CN"/>
        </w:rPr>
        <w:t>闽清县应急管理局</w:t>
      </w:r>
      <w:r>
        <w:rPr>
          <w:rFonts w:hint="eastAsia"/>
          <w:sz w:val="44"/>
          <w:szCs w:val="44"/>
          <w:lang w:val="en-US" w:eastAsia="zh-CN"/>
        </w:rPr>
        <w:t>2024年</w:t>
      </w:r>
      <w:r>
        <w:rPr>
          <w:rFonts w:hint="eastAsia"/>
          <w:sz w:val="44"/>
          <w:szCs w:val="44"/>
          <w:lang w:eastAsia="zh-CN"/>
        </w:rPr>
        <w:t>行政处罚公示（八）</w:t>
      </w:r>
    </w:p>
    <w:tbl>
      <w:tblPr>
        <w:tblStyle w:val="4"/>
        <w:tblpPr w:leftFromText="180" w:rightFromText="180" w:vertAnchor="text" w:horzAnchor="page" w:tblpX="1431" w:tblpY="64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90"/>
        <w:gridCol w:w="975"/>
        <w:gridCol w:w="2782"/>
        <w:gridCol w:w="2826"/>
        <w:gridCol w:w="1772"/>
        <w:gridCol w:w="1772"/>
        <w:gridCol w:w="1772"/>
      </w:tblGrid>
      <w:tr w14:paraId="52B5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1A4AA097">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1390" w:type="dxa"/>
            <w:vAlign w:val="center"/>
          </w:tcPr>
          <w:p w14:paraId="268DC840">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被处罚人</w:t>
            </w:r>
          </w:p>
        </w:tc>
        <w:tc>
          <w:tcPr>
            <w:tcW w:w="975" w:type="dxa"/>
            <w:vAlign w:val="center"/>
          </w:tcPr>
          <w:p w14:paraId="2C090751">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处罚名称</w:t>
            </w:r>
          </w:p>
        </w:tc>
        <w:tc>
          <w:tcPr>
            <w:tcW w:w="2782" w:type="dxa"/>
            <w:vAlign w:val="center"/>
          </w:tcPr>
          <w:p w14:paraId="5AB6D691">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处罚事由</w:t>
            </w:r>
          </w:p>
        </w:tc>
        <w:tc>
          <w:tcPr>
            <w:tcW w:w="2826" w:type="dxa"/>
            <w:vAlign w:val="center"/>
          </w:tcPr>
          <w:p w14:paraId="4398D456">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处罚依据</w:t>
            </w:r>
          </w:p>
        </w:tc>
        <w:tc>
          <w:tcPr>
            <w:tcW w:w="1772" w:type="dxa"/>
            <w:vAlign w:val="center"/>
          </w:tcPr>
          <w:p w14:paraId="123AC8A2">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决定文书号</w:t>
            </w:r>
          </w:p>
        </w:tc>
        <w:tc>
          <w:tcPr>
            <w:tcW w:w="1772" w:type="dxa"/>
            <w:vAlign w:val="center"/>
          </w:tcPr>
          <w:p w14:paraId="68709083">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做出处罚机构</w:t>
            </w:r>
          </w:p>
        </w:tc>
        <w:tc>
          <w:tcPr>
            <w:tcW w:w="1772" w:type="dxa"/>
            <w:vAlign w:val="center"/>
          </w:tcPr>
          <w:p w14:paraId="5865E856">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处罚日期</w:t>
            </w:r>
          </w:p>
        </w:tc>
      </w:tr>
      <w:tr w14:paraId="40E5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3BE0CFA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90" w:type="dxa"/>
            <w:vAlign w:val="center"/>
          </w:tcPr>
          <w:p w14:paraId="027BEFD3">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福州凌创机械设备有限公司</w:t>
            </w:r>
          </w:p>
        </w:tc>
        <w:tc>
          <w:tcPr>
            <w:tcW w:w="975" w:type="dxa"/>
            <w:vAlign w:val="center"/>
          </w:tcPr>
          <w:p w14:paraId="4A8C4C0E">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罚款</w:t>
            </w:r>
          </w:p>
        </w:tc>
        <w:tc>
          <w:tcPr>
            <w:tcW w:w="2782" w:type="dxa"/>
            <w:vAlign w:val="center"/>
          </w:tcPr>
          <w:p w14:paraId="081F6AC6">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中频炉（熔炼炉）进出水流量差监测报警装置未与熔融金属加热系统联锁</w:t>
            </w:r>
          </w:p>
        </w:tc>
        <w:tc>
          <w:tcPr>
            <w:tcW w:w="2826" w:type="dxa"/>
            <w:vAlign w:val="center"/>
          </w:tcPr>
          <w:p w14:paraId="7B5B1514">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《中华人民共和国安全生产法》第一百零二条</w:t>
            </w:r>
          </w:p>
        </w:tc>
        <w:tc>
          <w:tcPr>
            <w:tcW w:w="1772" w:type="dxa"/>
            <w:vAlign w:val="center"/>
          </w:tcPr>
          <w:p w14:paraId="1A70689B">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（梅）应急罚〔202</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9</w:t>
            </w:r>
            <w:r>
              <w:rPr>
                <w:rFonts w:hint="eastAsia" w:ascii="仿宋_GB2312" w:hAnsi="仿宋_GB2312" w:eastAsia="仿宋_GB2312" w:cs="仿宋_GB2312"/>
                <w:sz w:val="24"/>
                <w:szCs w:val="24"/>
                <w:vertAlign w:val="baseline"/>
                <w:lang w:eastAsia="zh-CN"/>
              </w:rPr>
              <w:t>号</w:t>
            </w:r>
          </w:p>
        </w:tc>
        <w:tc>
          <w:tcPr>
            <w:tcW w:w="1772" w:type="dxa"/>
            <w:vAlign w:val="center"/>
          </w:tcPr>
          <w:p w14:paraId="2CA8E6E6">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闽清县应急管理局</w:t>
            </w:r>
          </w:p>
        </w:tc>
        <w:tc>
          <w:tcPr>
            <w:tcW w:w="1772" w:type="dxa"/>
            <w:vAlign w:val="center"/>
          </w:tcPr>
          <w:p w14:paraId="136DABD1">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2024年11月11日</w:t>
            </w:r>
          </w:p>
        </w:tc>
      </w:tr>
      <w:tr w14:paraId="0BF8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52BA982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90" w:type="dxa"/>
            <w:vAlign w:val="center"/>
          </w:tcPr>
          <w:p w14:paraId="4DDE54A5">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福州佳盛机械有限公司</w:t>
            </w:r>
          </w:p>
        </w:tc>
        <w:tc>
          <w:tcPr>
            <w:tcW w:w="975" w:type="dxa"/>
            <w:vAlign w:val="center"/>
          </w:tcPr>
          <w:p w14:paraId="4E339C69">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罚款</w:t>
            </w:r>
          </w:p>
        </w:tc>
        <w:tc>
          <w:tcPr>
            <w:tcW w:w="2782" w:type="dxa"/>
            <w:vAlign w:val="center"/>
          </w:tcPr>
          <w:p w14:paraId="484F39CC">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与承租单位签订的安全生产管理协议未明确甲方的安全生产管理职责，且未对承租单位的安全生产统一协调和管理；熔炼炉的冷却水系统未设置进出水流量差监测报警装置</w:t>
            </w:r>
          </w:p>
        </w:tc>
        <w:tc>
          <w:tcPr>
            <w:tcW w:w="2826" w:type="dxa"/>
            <w:vAlign w:val="center"/>
          </w:tcPr>
          <w:p w14:paraId="620ECFE8">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中华人民共和国安全生产法》第一百零二条、第一百零三条第二款</w:t>
            </w:r>
          </w:p>
        </w:tc>
        <w:tc>
          <w:tcPr>
            <w:tcW w:w="1772" w:type="dxa"/>
            <w:vAlign w:val="center"/>
          </w:tcPr>
          <w:p w14:paraId="1F16D877">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（梅）应急罚〔202</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lang w:eastAsia="zh-CN"/>
              </w:rPr>
              <w:t>号</w:t>
            </w:r>
          </w:p>
        </w:tc>
        <w:tc>
          <w:tcPr>
            <w:tcW w:w="1772" w:type="dxa"/>
            <w:vAlign w:val="center"/>
          </w:tcPr>
          <w:p w14:paraId="195590F8">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闽清县应急管理局</w:t>
            </w:r>
          </w:p>
        </w:tc>
        <w:tc>
          <w:tcPr>
            <w:tcW w:w="1772" w:type="dxa"/>
            <w:vAlign w:val="center"/>
          </w:tcPr>
          <w:p w14:paraId="3722F763">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2024年11月11日</w:t>
            </w:r>
          </w:p>
        </w:tc>
      </w:tr>
      <w:tr w14:paraId="728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5489C2B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90" w:type="dxa"/>
            <w:vAlign w:val="center"/>
          </w:tcPr>
          <w:p w14:paraId="508F85B8">
            <w:pPr>
              <w:jc w:val="both"/>
              <w:rPr>
                <w:rFonts w:hint="default" w:ascii="仿宋_GB2312" w:hAnsi="仿宋_GB2312" w:eastAsia="仿宋_GB2312" w:cs="仿宋_GB2312"/>
                <w:sz w:val="24"/>
                <w:szCs w:val="24"/>
                <w:vertAlign w:val="baseline"/>
                <w:lang w:val="en-US" w:eastAsia="zh-CN"/>
              </w:rPr>
            </w:pPr>
            <w:r>
              <w:rPr>
                <w:rFonts w:hint="eastAsia" w:ascii="仿宋_GB2312" w:hAnsi="仿宋" w:eastAsia="仿宋_GB2312" w:cs="Calibri"/>
                <w:strike w:val="0"/>
                <w:dstrike w:val="0"/>
                <w:sz w:val="24"/>
                <w:szCs w:val="21"/>
                <w:u w:val="none"/>
                <w:lang w:val="en-US" w:eastAsia="zh-CN"/>
              </w:rPr>
              <w:t>郑东挺</w:t>
            </w:r>
          </w:p>
        </w:tc>
        <w:tc>
          <w:tcPr>
            <w:tcW w:w="975" w:type="dxa"/>
            <w:vAlign w:val="center"/>
          </w:tcPr>
          <w:p w14:paraId="3527845D">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罚款</w:t>
            </w:r>
          </w:p>
        </w:tc>
        <w:tc>
          <w:tcPr>
            <w:tcW w:w="2782" w:type="dxa"/>
            <w:vAlign w:val="center"/>
          </w:tcPr>
          <w:p w14:paraId="6E972BE7">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与承租单位签订的安全生产管理协议未明确甲方的安全生产管理职责，且未对承租单位的安全生产统一协调和管理</w:t>
            </w:r>
          </w:p>
        </w:tc>
        <w:tc>
          <w:tcPr>
            <w:tcW w:w="2826" w:type="dxa"/>
            <w:vAlign w:val="center"/>
          </w:tcPr>
          <w:p w14:paraId="1C63DCD5">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中华人民共和国安全生产法》第一百零三条第二款</w:t>
            </w:r>
          </w:p>
        </w:tc>
        <w:tc>
          <w:tcPr>
            <w:tcW w:w="1772" w:type="dxa"/>
            <w:vAlign w:val="center"/>
          </w:tcPr>
          <w:p w14:paraId="1172033B">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（梅）应急罚〔202</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11</w:t>
            </w:r>
            <w:r>
              <w:rPr>
                <w:rFonts w:hint="eastAsia" w:ascii="仿宋_GB2312" w:hAnsi="仿宋_GB2312" w:eastAsia="仿宋_GB2312" w:cs="仿宋_GB2312"/>
                <w:sz w:val="24"/>
                <w:szCs w:val="24"/>
                <w:vertAlign w:val="baseline"/>
                <w:lang w:eastAsia="zh-CN"/>
              </w:rPr>
              <w:t>号</w:t>
            </w:r>
          </w:p>
        </w:tc>
        <w:tc>
          <w:tcPr>
            <w:tcW w:w="1772" w:type="dxa"/>
            <w:vAlign w:val="center"/>
          </w:tcPr>
          <w:p w14:paraId="6D1B5E42">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闽清县应急管理局</w:t>
            </w:r>
          </w:p>
        </w:tc>
        <w:tc>
          <w:tcPr>
            <w:tcW w:w="1772" w:type="dxa"/>
            <w:vAlign w:val="center"/>
          </w:tcPr>
          <w:p w14:paraId="69AA0FF0">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2024年11月11日</w:t>
            </w:r>
            <w:bookmarkStart w:id="0" w:name="_GoBack"/>
            <w:bookmarkEnd w:id="0"/>
          </w:p>
        </w:tc>
      </w:tr>
    </w:tbl>
    <w:p w14:paraId="48F797FF">
      <w:pPr>
        <w:rPr>
          <w:rFonts w:hint="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jIxMjVkN2QyM2FiODE4YjRkZTg4NzhkZDkyOGIifQ=="/>
  </w:docVars>
  <w:rsids>
    <w:rsidRoot w:val="00000000"/>
    <w:rsid w:val="035E3CC5"/>
    <w:rsid w:val="03DA14FB"/>
    <w:rsid w:val="040B1509"/>
    <w:rsid w:val="04230199"/>
    <w:rsid w:val="062C2D21"/>
    <w:rsid w:val="06AA76FC"/>
    <w:rsid w:val="09C56F9D"/>
    <w:rsid w:val="0C1C08F5"/>
    <w:rsid w:val="0DC42327"/>
    <w:rsid w:val="0E1B0FB0"/>
    <w:rsid w:val="0EE4521C"/>
    <w:rsid w:val="12490D80"/>
    <w:rsid w:val="195B69E3"/>
    <w:rsid w:val="1A7D5ACD"/>
    <w:rsid w:val="1BCB1BDF"/>
    <w:rsid w:val="20925A65"/>
    <w:rsid w:val="222360CD"/>
    <w:rsid w:val="229B21C0"/>
    <w:rsid w:val="232D5D91"/>
    <w:rsid w:val="26CB3E4A"/>
    <w:rsid w:val="27011CA5"/>
    <w:rsid w:val="2C9D2E76"/>
    <w:rsid w:val="2DCA7056"/>
    <w:rsid w:val="2EDF2B0E"/>
    <w:rsid w:val="30A9465D"/>
    <w:rsid w:val="31CE43AE"/>
    <w:rsid w:val="31F34273"/>
    <w:rsid w:val="3202007C"/>
    <w:rsid w:val="329E18C5"/>
    <w:rsid w:val="35307F39"/>
    <w:rsid w:val="35C4356E"/>
    <w:rsid w:val="38780A8A"/>
    <w:rsid w:val="3B587B7A"/>
    <w:rsid w:val="3D2B1EB4"/>
    <w:rsid w:val="3E294732"/>
    <w:rsid w:val="42FC33F9"/>
    <w:rsid w:val="4C4C4CF7"/>
    <w:rsid w:val="547A117A"/>
    <w:rsid w:val="548B30E5"/>
    <w:rsid w:val="55936F97"/>
    <w:rsid w:val="5A147215"/>
    <w:rsid w:val="5A8424A7"/>
    <w:rsid w:val="5B933EF9"/>
    <w:rsid w:val="5DDB6758"/>
    <w:rsid w:val="5DFB07A8"/>
    <w:rsid w:val="5EA76E32"/>
    <w:rsid w:val="5EAB2D38"/>
    <w:rsid w:val="5F8240BC"/>
    <w:rsid w:val="5FEF5208"/>
    <w:rsid w:val="604D5E7E"/>
    <w:rsid w:val="62D95724"/>
    <w:rsid w:val="633C688E"/>
    <w:rsid w:val="63DE51EB"/>
    <w:rsid w:val="6B902CC2"/>
    <w:rsid w:val="6C7F7C12"/>
    <w:rsid w:val="6E9A106F"/>
    <w:rsid w:val="6FAA15FD"/>
    <w:rsid w:val="6FB40847"/>
    <w:rsid w:val="701330D3"/>
    <w:rsid w:val="7056597E"/>
    <w:rsid w:val="707A1A3E"/>
    <w:rsid w:val="7516638B"/>
    <w:rsid w:val="763F2860"/>
    <w:rsid w:val="76D70725"/>
    <w:rsid w:val="7BE64AFE"/>
    <w:rsid w:val="7C086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199</Characters>
  <Lines>0</Lines>
  <Paragraphs>0</Paragraphs>
  <TotalTime>0</TotalTime>
  <ScaleCrop>false</ScaleCrop>
  <LinksUpToDate>false</LinksUpToDate>
  <CharactersWithSpaces>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hp2015</dc:creator>
  <cp:lastModifiedBy>不可思议的棋棋</cp:lastModifiedBy>
  <dcterms:modified xsi:type="dcterms:W3CDTF">2024-11-11T09:14:25Z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733C7A7B1C7C430A9792EC9DB4FEB0F6_13</vt:lpwstr>
  </property>
  <property fmtid="{D5CDD505-2E9C-101B-9397-08002B2CF9AE}" pid="4" name="commondata">
    <vt:lpwstr>eyJoZGlkIjoiYTg3NjIxMjVkN2QyM2FiODE4YjRkZTg4NzhkZDkyOGIifQ==</vt:lpwstr>
  </property>
</Properties>
</file>