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lang w:val="en-US" w:eastAsia="zh-CN"/>
        </w:rPr>
      </w:pPr>
      <w:r>
        <w:rPr>
          <w:rFonts w:hint="eastAsia"/>
          <w:b/>
          <w:sz w:val="36"/>
          <w:szCs w:val="36"/>
        </w:rPr>
        <w:t>福州市</w:t>
      </w:r>
      <w:r>
        <w:rPr>
          <w:rFonts w:hint="eastAsia"/>
          <w:b/>
          <w:sz w:val="36"/>
          <w:szCs w:val="36"/>
          <w:lang w:eastAsia="zh-CN"/>
        </w:rPr>
        <w:t>闽清生态环境</w:t>
      </w:r>
      <w:r>
        <w:rPr>
          <w:rFonts w:hint="eastAsia"/>
          <w:b/>
          <w:sz w:val="36"/>
          <w:szCs w:val="36"/>
        </w:rPr>
        <w:t>局</w:t>
      </w:r>
      <w:r>
        <w:rPr>
          <w:rFonts w:hint="eastAsia"/>
          <w:b/>
          <w:sz w:val="36"/>
          <w:szCs w:val="36"/>
          <w:lang w:val="en-US" w:eastAsia="zh-CN"/>
        </w:rPr>
        <w:t>2024年度2月1日-2月</w:t>
      </w:r>
      <w:bookmarkStart w:id="0" w:name="_GoBack"/>
      <w:bookmarkEnd w:id="0"/>
      <w:r>
        <w:rPr>
          <w:rFonts w:hint="eastAsia"/>
          <w:b/>
          <w:sz w:val="36"/>
          <w:szCs w:val="36"/>
          <w:lang w:val="en-US" w:eastAsia="zh-CN"/>
        </w:rPr>
        <w:t>2日</w:t>
      </w:r>
      <w:r>
        <w:rPr>
          <w:rFonts w:hint="eastAsia"/>
          <w:b/>
          <w:sz w:val="36"/>
          <w:szCs w:val="36"/>
        </w:rPr>
        <w:t>行政</w:t>
      </w:r>
      <w:r>
        <w:rPr>
          <w:rFonts w:hint="eastAsia"/>
          <w:b/>
          <w:sz w:val="36"/>
          <w:szCs w:val="36"/>
          <w:lang w:eastAsia="zh-CN"/>
        </w:rPr>
        <w:t>处罚公示情况表</w:t>
      </w:r>
    </w:p>
    <w:p>
      <w:pPr>
        <w:jc w:val="center"/>
        <w:rPr>
          <w:rFonts w:hint="eastAsia"/>
          <w:lang w:val="en-US" w:eastAsia="zh-CN"/>
        </w:rPr>
      </w:pPr>
    </w:p>
    <w:tbl>
      <w:tblPr>
        <w:tblStyle w:val="2"/>
        <w:tblpPr w:leftFromText="180" w:rightFromText="180" w:vertAnchor="text" w:horzAnchor="page" w:tblpX="1416" w:tblpY="30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1740"/>
        <w:gridCol w:w="4200"/>
        <w:gridCol w:w="2674"/>
        <w:gridCol w:w="1467"/>
        <w:gridCol w:w="1866"/>
        <w:gridCol w:w="1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序号</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案件类型</w:t>
            </w:r>
          </w:p>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（案件名称、具体案由）</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案情简介</w:t>
            </w:r>
          </w:p>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（简要案情、违法事实等）</w:t>
            </w:r>
          </w:p>
        </w:tc>
        <w:tc>
          <w:tcPr>
            <w:tcW w:w="26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处罚依据</w:t>
            </w:r>
          </w:p>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（法律、法规名称及条款）</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rPr>
              <w:t>行政处罚种类</w:t>
            </w:r>
            <w:r>
              <w:rPr>
                <w:rFonts w:hint="eastAsia" w:asciiTheme="minorEastAsia" w:hAnsiTheme="minorEastAsia" w:cstheme="minorEastAsia"/>
                <w:sz w:val="21"/>
                <w:szCs w:val="21"/>
                <w:lang w:val="en-US" w:eastAsia="zh-CN"/>
              </w:rPr>
              <w:t>(万元）</w:t>
            </w:r>
          </w:p>
        </w:tc>
        <w:tc>
          <w:tcPr>
            <w:tcW w:w="18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决定书文号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办理机关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福建湘运丰电力科技有限公司</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根据《中督闽信转[2023]76号－35》信访件，我局执法人员和环境监测人员于2023年11月30日对福建湘运丰电力科技有限公司生产过程和废气排放情况进行检查，环境监测人员对燃烧生物质颗粒工序废气排放口颗粒物进行采样监测。福州市闽清环境监测站于2023年12月3日出具《福州市闽清环境监测站监测报告》（梅环监测[2023]气字第026号）显示：福建湘运丰电力科技有限公司2023年11月30日燃料工序废气排放口排放颗粒物平均浓度为1022mg/m³ 超过《锅炉大气污染物排放标准》（GB13271－2014）表3大气污染物特别排放限值：20mg/m³的51.1倍</w:t>
            </w:r>
          </w:p>
        </w:tc>
        <w:tc>
          <w:tcPr>
            <w:tcW w:w="26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《中华人民共和国大气污染防治法》第九十九条第（二）项</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12.25</w:t>
            </w:r>
          </w:p>
        </w:tc>
        <w:tc>
          <w:tcPr>
            <w:tcW w:w="18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闽榕环罚〔2024〕31号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4" w:hRule="atLeast"/>
        </w:trPr>
        <w:tc>
          <w:tcPr>
            <w:tcW w:w="7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2</w:t>
            </w:r>
          </w:p>
        </w:tc>
        <w:tc>
          <w:tcPr>
            <w:tcW w:w="174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福建广昌和木业有限公司</w:t>
            </w:r>
          </w:p>
        </w:tc>
        <w:tc>
          <w:tcPr>
            <w:tcW w:w="42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我局执法人员于2023年12月1日对福建广昌和木业有限公司5#生产车间进行检查。现场检查时，该公司5#生产车间喷漆、辊漆工序正在运行。喷漆、辊漆废气经水帘设施、光氧催化、活性炭吸附处理后排放。喷漆、辊漆工序共设置4个排放口，编号：DA001、DA002、DA003、DA004，其中DA003为辊涂废气排放口，DA001、DA002、DA004为喷涂废气排放口。我局委托福建九五检测技术服务有限公司对上述4个排放口废气排放情况进行检测。根据福建九五检测技术服务有限公司2023年12月5日出具的检测报告(报告编号:JWJC231130005-2）显示，该公司2023年12月1日编号DA003废气排放口排放的非甲烷总烃小时浓度分别为153mg/m³，134mg/m³，129mg/m³。根据排污许可证副本显示，该公司排放废气执行的是《工业涂装工序挥发性有机物排放标准》（DB35/1783-2018）表1标准的排放限值（即50mg/m³），该公司2023年12月1日编号DA003废气排放口排放的非甲烷总烃小时浓度分表超过排放标准2.06倍、1.68倍、1.58倍。</w:t>
            </w:r>
          </w:p>
        </w:tc>
        <w:tc>
          <w:tcPr>
            <w:tcW w:w="267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《中华人民共和国大气污染防治法》第九十九条第（二）项</w:t>
            </w:r>
          </w:p>
        </w:tc>
        <w:tc>
          <w:tcPr>
            <w:tcW w:w="146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default"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11.2656</w:t>
            </w:r>
          </w:p>
        </w:tc>
        <w:tc>
          <w:tcPr>
            <w:tcW w:w="186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闽榕环罚〔2024〕32号</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仿宋_GB2312" w:hAnsi="宋体" w:eastAsia="仿宋_GB2312" w:cs="仿宋_GB2312"/>
                <w:i w:val="0"/>
                <w:iCs w:val="0"/>
                <w:color w:val="000000"/>
                <w:kern w:val="0"/>
                <w:sz w:val="18"/>
                <w:szCs w:val="18"/>
                <w:u w:val="none"/>
                <w:lang w:val="en-US" w:eastAsia="zh-CN" w:bidi="ar"/>
              </w:rPr>
            </w:pPr>
            <w:r>
              <w:rPr>
                <w:rFonts w:hint="eastAsia" w:ascii="仿宋_GB2312" w:hAnsi="宋体" w:eastAsia="仿宋_GB2312" w:cs="仿宋_GB2312"/>
                <w:i w:val="0"/>
                <w:iCs w:val="0"/>
                <w:color w:val="000000"/>
                <w:kern w:val="0"/>
                <w:sz w:val="18"/>
                <w:szCs w:val="18"/>
                <w:u w:val="none"/>
                <w:lang w:val="en-US" w:eastAsia="zh-CN" w:bidi="ar"/>
              </w:rPr>
              <w:t>福州市闽清生态环境保护综合执法大队</w:t>
            </w:r>
          </w:p>
        </w:tc>
      </w:tr>
    </w:tbl>
    <w:p>
      <w:pPr>
        <w:rPr>
          <w:rFonts w:hint="eastAsia" w:asciiTheme="minorEastAsia" w:hAnsiTheme="minorEastAsia" w:eastAsiaTheme="minorEastAsia" w:cstheme="minorEastAsia"/>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kMWUwYjcxMzEzZTk2ZDYyZTg5NWQyYTQ1ZWZlYWIifQ=="/>
  </w:docVars>
  <w:rsids>
    <w:rsidRoot w:val="38F256B8"/>
    <w:rsid w:val="03EE62BE"/>
    <w:rsid w:val="05681F28"/>
    <w:rsid w:val="093C34A6"/>
    <w:rsid w:val="19284EBD"/>
    <w:rsid w:val="1A020F55"/>
    <w:rsid w:val="1C18541C"/>
    <w:rsid w:val="217A4BBD"/>
    <w:rsid w:val="2A3A138D"/>
    <w:rsid w:val="2E0C55B8"/>
    <w:rsid w:val="305C31DA"/>
    <w:rsid w:val="37F00AC9"/>
    <w:rsid w:val="38F256B8"/>
    <w:rsid w:val="3E63627B"/>
    <w:rsid w:val="3EE5198E"/>
    <w:rsid w:val="43817908"/>
    <w:rsid w:val="44862B57"/>
    <w:rsid w:val="47552538"/>
    <w:rsid w:val="4D3A55F0"/>
    <w:rsid w:val="4F3D0E54"/>
    <w:rsid w:val="5063336A"/>
    <w:rsid w:val="50FF4CF0"/>
    <w:rsid w:val="53F64E04"/>
    <w:rsid w:val="545A4256"/>
    <w:rsid w:val="56492CF4"/>
    <w:rsid w:val="5A9C123A"/>
    <w:rsid w:val="5AF4535D"/>
    <w:rsid w:val="5C2119A0"/>
    <w:rsid w:val="60883EF9"/>
    <w:rsid w:val="64A056A0"/>
    <w:rsid w:val="65D4345A"/>
    <w:rsid w:val="665F7DA3"/>
    <w:rsid w:val="68E07282"/>
    <w:rsid w:val="73677F60"/>
    <w:rsid w:val="75930F1E"/>
    <w:rsid w:val="78B80345"/>
    <w:rsid w:val="7A4B5ADB"/>
    <w:rsid w:val="7B550AC8"/>
    <w:rsid w:val="7CFB25E5"/>
    <w:rsid w:val="7F080A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147</Words>
  <Characters>152</Characters>
  <Lines>0</Lines>
  <Paragraphs>0</Paragraphs>
  <TotalTime>0</TotalTime>
  <ScaleCrop>false</ScaleCrop>
  <LinksUpToDate>false</LinksUpToDate>
  <CharactersWithSpaces>152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2022-03-07T07:37:00Z</dcterms:created>
  <dc:creator>mogu</dc:creator>
  <cp:lastModifiedBy>Administrator</cp:lastModifiedBy>
  <dcterms:modified xsi:type="dcterms:W3CDTF">2024-02-05T07:10:33Z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18C90AC789B04D0794B22BD1315E7B3D_13</vt:lpwstr>
  </property>
</Properties>
</file>