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lang w:val="en-US" w:eastAsia="zh-CN"/>
        </w:rPr>
      </w:pPr>
      <w:r>
        <w:rPr>
          <w:rFonts w:hint="eastAsia"/>
          <w:b/>
          <w:sz w:val="36"/>
          <w:szCs w:val="36"/>
        </w:rPr>
        <w:t>福州市</w:t>
      </w:r>
      <w:r>
        <w:rPr>
          <w:rFonts w:hint="eastAsia"/>
          <w:b/>
          <w:sz w:val="36"/>
          <w:szCs w:val="36"/>
          <w:lang w:eastAsia="zh-CN"/>
        </w:rPr>
        <w:t>闽清生态环境</w:t>
      </w:r>
      <w:r>
        <w:rPr>
          <w:rFonts w:hint="eastAsia"/>
          <w:b/>
          <w:sz w:val="36"/>
          <w:szCs w:val="36"/>
        </w:rPr>
        <w:t>局</w:t>
      </w:r>
      <w:r>
        <w:rPr>
          <w:rFonts w:hint="eastAsia"/>
          <w:b/>
          <w:sz w:val="36"/>
          <w:szCs w:val="36"/>
          <w:lang w:val="en-US" w:eastAsia="zh-CN"/>
        </w:rPr>
        <w:t>2023年度1-11月</w:t>
      </w:r>
      <w:r>
        <w:rPr>
          <w:rFonts w:hint="eastAsia"/>
          <w:b/>
          <w:sz w:val="36"/>
          <w:szCs w:val="36"/>
        </w:rPr>
        <w:t>行政</w:t>
      </w:r>
      <w:r>
        <w:rPr>
          <w:rFonts w:hint="eastAsia"/>
          <w:b/>
          <w:sz w:val="36"/>
          <w:szCs w:val="36"/>
          <w:lang w:eastAsia="zh-CN"/>
        </w:rPr>
        <w:t>处罚案件情况</w:t>
      </w:r>
      <w:r>
        <w:rPr>
          <w:rFonts w:hint="eastAsia"/>
          <w:b/>
          <w:sz w:val="36"/>
          <w:szCs w:val="36"/>
        </w:rPr>
        <w:t>表</w:t>
      </w:r>
    </w:p>
    <w:tbl>
      <w:tblPr>
        <w:tblStyle w:val="2"/>
        <w:tblpPr w:leftFromText="180" w:rightFromText="180" w:vertAnchor="text" w:horzAnchor="page" w:tblpX="1416" w:tblpY="30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
        <w:gridCol w:w="1740"/>
        <w:gridCol w:w="4200"/>
        <w:gridCol w:w="2674"/>
        <w:gridCol w:w="1278"/>
        <w:gridCol w:w="2055"/>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序号</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案件类型</w:t>
            </w:r>
          </w:p>
          <w:p>
            <w:pPr>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（案件名称、具体案由）</w:t>
            </w:r>
          </w:p>
        </w:tc>
        <w:tc>
          <w:tcPr>
            <w:tcW w:w="42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案情简介</w:t>
            </w:r>
          </w:p>
          <w:p>
            <w:pPr>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（简要案情、违法事实等）</w:t>
            </w:r>
          </w:p>
        </w:tc>
        <w:tc>
          <w:tcPr>
            <w:tcW w:w="267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处罚依据</w:t>
            </w:r>
          </w:p>
          <w:p>
            <w:pPr>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（法律、法规名称及条款）</w:t>
            </w:r>
          </w:p>
        </w:tc>
        <w:tc>
          <w:tcPr>
            <w:tcW w:w="12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行政处罚种类</w:t>
            </w:r>
            <w:r>
              <w:rPr>
                <w:rFonts w:hint="eastAsia" w:asciiTheme="minorEastAsia" w:hAnsiTheme="minorEastAsia" w:cstheme="minorEastAsia"/>
                <w:sz w:val="21"/>
                <w:szCs w:val="21"/>
                <w:lang w:val="en-US" w:eastAsia="zh-CN"/>
              </w:rPr>
              <w:t>(万元）</w:t>
            </w:r>
          </w:p>
        </w:tc>
        <w:tc>
          <w:tcPr>
            <w:tcW w:w="20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决定书文号</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办理机关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atLeast"/>
        </w:trPr>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福建省闽清腾龙陶瓷有限公司</w:t>
            </w:r>
          </w:p>
        </w:tc>
        <w:tc>
          <w:tcPr>
            <w:tcW w:w="4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2023年2月7日对福建省闽清腾龙陶瓷有限公司进行检查。现场检查时，该公司停产检修中。我局执法人员发现该公司东北方存煤区角落处建有一座煤气站，煤气站主体框架、管道铺设已基本安装完成。现场未能提供该煤气站建设项目的环评审批材料。</w:t>
            </w:r>
          </w:p>
        </w:tc>
        <w:tc>
          <w:tcPr>
            <w:tcW w:w="26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《中华人民共和国环境影响评价法》第三十一条“建设单位未依法报批建设项目环境影响报告、报告表，或者未依照本法第二十四条的规定重新报批或者报请重新审核环境影响报告书、报告表，擅自开工建设的。</w:t>
            </w:r>
          </w:p>
        </w:tc>
        <w:tc>
          <w:tcPr>
            <w:tcW w:w="12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2.64</w:t>
            </w:r>
          </w:p>
        </w:tc>
        <w:tc>
          <w:tcPr>
            <w:tcW w:w="20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闽榕环罚〔2023〕23号</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福州市闽清生态环境保护综合执法大队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atLeast"/>
        </w:trPr>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福州市丰禾钢构有限公司</w:t>
            </w:r>
          </w:p>
        </w:tc>
        <w:tc>
          <w:tcPr>
            <w:tcW w:w="4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2023年2月8日，我局环境执法人员对该公司进行检查。现场检查时，该公司未生产。检查过程发现该公司车间内部分生产设施基本建成，车间内已建设切割机2台，自动埋弧焊机2台，校正机2台，抛丸除锈机1台等设备，喷漆车间及配套建设的废气治理设施未建成。现场生产设备均未运行，车间内无生产迹象。</w:t>
            </w:r>
          </w:p>
        </w:tc>
        <w:tc>
          <w:tcPr>
            <w:tcW w:w="26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依据《中华人民共和国环境影响评价法》第三十一条第一款“建设单位未依法报批建设项目环境影响报告书、报告表，或者未依照本法第二十四条的规定重新报批或者报请重新审核环境影响报告书、报告表，擅自开工建设的。</w:t>
            </w:r>
          </w:p>
        </w:tc>
        <w:tc>
          <w:tcPr>
            <w:tcW w:w="12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1.2</w:t>
            </w:r>
          </w:p>
        </w:tc>
        <w:tc>
          <w:tcPr>
            <w:tcW w:w="20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闽榕环罚〔2023〕22号</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福州市闽清生态环境保护综合执法大队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atLeast"/>
        </w:trPr>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60" w:lineRule="auto"/>
              <w:jc w:val="center"/>
              <w:textAlignment w:val="center"/>
              <w:rPr>
                <w:rFonts w:hint="default"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3</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福建省闽清清禾农牧有限公司</w:t>
            </w:r>
          </w:p>
        </w:tc>
        <w:tc>
          <w:tcPr>
            <w:tcW w:w="4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2023年3月15日，我局会同福州市生态环境局环境执法人员于对福建省闽清清禾农牧有限公司果园消纳地污水贮存设施－储液池（经度118.764444，纬度26.403611）进行现场检查，储液池表面不规则，最大长度约100米，最大宽度约20米，最高深度约1.5米，贮满黑色养殖废水，三面铺有黑色柔软轻薄塑料膜，北侧依山部分土质裸露（长度约100米），部分区域塑料膜已出现破损，影响防渗效果，池子底部已出现鼓包，塑料膜与泥土接触面已显黑色，池子边脚处可见少量褐色积水。执法人员分别在在线监控西侧观察口、沼液池西面山脚地表径流、果园消纳地高位储液池中采集水样各1瓶。</w:t>
            </w:r>
          </w:p>
        </w:tc>
        <w:tc>
          <w:tcPr>
            <w:tcW w:w="26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依据《畜禽规模养殖污染防治条例》第三十九条。</w:t>
            </w:r>
          </w:p>
        </w:tc>
        <w:tc>
          <w:tcPr>
            <w:tcW w:w="12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0.3889</w:t>
            </w:r>
          </w:p>
        </w:tc>
        <w:tc>
          <w:tcPr>
            <w:tcW w:w="20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闽榕环罚〔2023〕71号</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福州市闽清生态环境保护综合执法大队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atLeast"/>
        </w:trPr>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60" w:lineRule="auto"/>
              <w:jc w:val="center"/>
              <w:textAlignment w:val="center"/>
              <w:rPr>
                <w:rFonts w:hint="default"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4</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福建闽清聚隆农业专业合作社</w:t>
            </w:r>
          </w:p>
        </w:tc>
        <w:tc>
          <w:tcPr>
            <w:tcW w:w="4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2023年3月14日，福州市生态环境保护执法支队执法人员对该合作社（经营生猪养殖）进行检查。现场检查时，该单位正在进行清栏工作，存栏生猪仅余约50头。养殖污水经干湿分离机分离后，进入该单位的污水处理设施，该污水处理设施没有运行，没有发现污水处理设施外排的情况。干湿分离机产生的粪便分别堆放于厂区东南侧储粪棚内。在储粪棚东北侧发现一块长约50米，宽约10米的堆土地块，该堆土地块分别向东北、西北形成两条由渗滤液渗入土壤形成的黑色淤泥带，其中紧贴堆土地块东北边有渗滤液渗入土壤形成的一条黑色淤泥带，黑色渗滤液沿淤泥带向东在土地上形成小型径流，流出堆土地块后经一条人工设置的直径约15CM白色PVC管（该管末端连接有一截黑色软管）下排至储粪棚东侧再次形成地表径流，最终流入储粪棚东侧路边一条直径约30CM水泥竖井，该竖井联通厂区埋地式排洪沟，排洪沟内有山体水流。渗滤液流入排洪沟后与山体水混合，由厂区西南方排洪沟出口排出；向西北的黑色淤泥带形成的小型径流经自然地势，流入厂区内山体水流，最终由山体水总排口排出。</w:t>
            </w:r>
          </w:p>
        </w:tc>
        <w:tc>
          <w:tcPr>
            <w:tcW w:w="26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Style w:val="5"/>
                <w:rFonts w:hAnsi="宋体"/>
                <w:lang w:val="en-US" w:eastAsia="zh-CN" w:bidi="ar"/>
              </w:rPr>
              <w:t>依据《中华人民共和国固体废物污染环境防治法》第一百零七条</w:t>
            </w:r>
          </w:p>
        </w:tc>
        <w:tc>
          <w:tcPr>
            <w:tcW w:w="12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val="en-US" w:eastAsia="zh-CN"/>
              </w:rPr>
            </w:pPr>
            <w:r>
              <w:rPr>
                <w:rFonts w:hint="eastAsia" w:ascii="仿宋_GB2312" w:hAnsi="宋体" w:eastAsia="仿宋_GB2312" w:cs="仿宋_GB2312"/>
                <w:i w:val="0"/>
                <w:iCs w:val="0"/>
                <w:color w:val="000000"/>
                <w:kern w:val="0"/>
                <w:sz w:val="18"/>
                <w:szCs w:val="18"/>
                <w:u w:val="none"/>
                <w:lang w:val="en-US" w:eastAsia="zh-CN" w:bidi="ar"/>
              </w:rPr>
              <w:t>0.4583</w:t>
            </w:r>
          </w:p>
        </w:tc>
        <w:tc>
          <w:tcPr>
            <w:tcW w:w="20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18"/>
                <w:szCs w:val="18"/>
                <w:u w:val="none"/>
                <w:lang w:val="en-US" w:eastAsia="zh-CN" w:bidi="ar-SA"/>
              </w:rPr>
            </w:pPr>
            <w:r>
              <w:rPr>
                <w:rFonts w:hint="eastAsia" w:ascii="仿宋_GB2312" w:hAnsi="宋体" w:eastAsia="仿宋_GB2312" w:cs="仿宋_GB2312"/>
                <w:i w:val="0"/>
                <w:iCs w:val="0"/>
                <w:color w:val="000000"/>
                <w:kern w:val="0"/>
                <w:sz w:val="18"/>
                <w:szCs w:val="18"/>
                <w:u w:val="none"/>
                <w:lang w:val="en-US" w:eastAsia="zh-CN" w:bidi="ar"/>
              </w:rPr>
              <w:t>闽榕环罚〔2023〕70号</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福州市闽清生态环境保护综合执法大队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atLeast"/>
        </w:trPr>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60" w:lineRule="auto"/>
              <w:jc w:val="center"/>
              <w:textAlignment w:val="center"/>
              <w:rPr>
                <w:rFonts w:hint="default"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5</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福州市旺顺养殖有限公司</w:t>
            </w:r>
          </w:p>
        </w:tc>
        <w:tc>
          <w:tcPr>
            <w:tcW w:w="4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2023年3月8日，我局环境执法人员对该公司进行检查。现场检查时，该养殖场正在经营，污染治理设施正在运行。检查过程，发现该养殖场储液池靠近河道一侧（铁皮围挡外）草地上有明显污水，顺沿草地向河道检查，发现河床上多个凹陷处有明显积水，且积水颜色为黑褐色。经溯源排查，发现该储液池内壁防渗膜有两处破损，破损点与外侧渗水处处于平行位置，未发现设置互通管道，储液池水位未发现明显下降痕迹。</w:t>
            </w:r>
          </w:p>
        </w:tc>
        <w:tc>
          <w:tcPr>
            <w:tcW w:w="26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根据《畜禽规模养殖污染防治条例》第三十九条</w:t>
            </w:r>
          </w:p>
        </w:tc>
        <w:tc>
          <w:tcPr>
            <w:tcW w:w="12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60" w:lineRule="auto"/>
              <w:jc w:val="center"/>
              <w:textAlignment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0.25</w:t>
            </w:r>
          </w:p>
        </w:tc>
        <w:tc>
          <w:tcPr>
            <w:tcW w:w="20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18"/>
                <w:szCs w:val="18"/>
                <w:u w:val="none"/>
                <w:lang w:val="en-US" w:eastAsia="zh-CN" w:bidi="ar-SA"/>
              </w:rPr>
            </w:pPr>
            <w:r>
              <w:rPr>
                <w:rFonts w:hint="eastAsia" w:ascii="仿宋_GB2312" w:hAnsi="宋体" w:eastAsia="仿宋_GB2312" w:cs="仿宋_GB2312"/>
                <w:i w:val="0"/>
                <w:iCs w:val="0"/>
                <w:color w:val="000000"/>
                <w:kern w:val="0"/>
                <w:sz w:val="18"/>
                <w:szCs w:val="18"/>
                <w:u w:val="none"/>
                <w:lang w:val="en-US" w:eastAsia="zh-CN" w:bidi="ar"/>
              </w:rPr>
              <w:t>闽榕环罚〔2023〕69号</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福州市闽清生态环境保护综合执法大队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atLeast"/>
        </w:trPr>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18"/>
                <w:szCs w:val="18"/>
                <w:u w:val="none"/>
                <w:lang w:val="en-US" w:eastAsia="zh-CN" w:bidi="ar-SA"/>
              </w:rPr>
            </w:pPr>
            <w:r>
              <w:rPr>
                <w:rFonts w:hint="eastAsia" w:ascii="仿宋_GB2312" w:hAnsi="宋体" w:eastAsia="仿宋_GB2312" w:cs="仿宋_GB2312"/>
                <w:i w:val="0"/>
                <w:iCs w:val="0"/>
                <w:color w:val="000000"/>
                <w:kern w:val="0"/>
                <w:sz w:val="18"/>
                <w:szCs w:val="18"/>
                <w:u w:val="none"/>
                <w:lang w:val="en-US" w:eastAsia="zh-CN" w:bidi="ar"/>
              </w:rPr>
              <w:t>福州福莱美新型建筑材料有限公司</w:t>
            </w:r>
          </w:p>
        </w:tc>
        <w:tc>
          <w:tcPr>
            <w:tcW w:w="4200" w:type="dxa"/>
            <w:tcBorders>
              <w:top w:val="single" w:color="auto" w:sz="4" w:space="0"/>
              <w:left w:val="single" w:color="auto" w:sz="4" w:space="0"/>
              <w:bottom w:val="single" w:color="auto" w:sz="4" w:space="0"/>
              <w:right w:val="single" w:color="auto" w:sz="4" w:space="0"/>
            </w:tcBorders>
            <w:noWrap w:val="0"/>
            <w:vAlign w:val="center"/>
          </w:tcPr>
          <w:p>
            <w:pPr>
              <w:tabs>
                <w:tab w:val="left" w:pos="799"/>
              </w:tabs>
              <w:bidi w:val="0"/>
              <w:jc w:val="left"/>
              <w:rPr>
                <w:rFonts w:hint="eastAsia" w:eastAsia="仿宋_GB2312" w:asciiTheme="minorHAnsi" w:hAnsiTheme="minorHAnsi" w:cstheme="minorBidi"/>
                <w:kern w:val="2"/>
                <w:sz w:val="21"/>
                <w:szCs w:val="24"/>
                <w:lang w:val="en-US" w:eastAsia="zh-CN" w:bidi="ar-SA"/>
              </w:rPr>
            </w:pPr>
            <w:r>
              <w:rPr>
                <w:rFonts w:hint="eastAsia" w:ascii="仿宋_GB2312" w:hAnsi="宋体" w:eastAsia="仿宋_GB2312" w:cs="仿宋_GB2312"/>
                <w:i w:val="0"/>
                <w:iCs w:val="0"/>
                <w:color w:val="000000"/>
                <w:kern w:val="0"/>
                <w:sz w:val="18"/>
                <w:szCs w:val="18"/>
                <w:u w:val="none"/>
                <w:lang w:val="en-US" w:eastAsia="zh-CN" w:bidi="ar"/>
              </w:rPr>
              <w:t>我局执法人员于2023年5月5日对福州福莱美新型建筑材料有限公司进行检查。现场检查时，该公司未运行。厂房内已建成安装的生产设备有：磨粉机2台、破碎机1台、混料机4台、大板挤出机4台、小板挤出机2台、大板覆膜机1台、小板覆膜机2台、包膜平贴机1台、3D打印机1台。下料混合工序已配套脉冲布袋除尘器，已建设废水循环池。该公司现场提供了可行性研究报告，但未能提供环评审批等相关环保材料。</w:t>
            </w:r>
          </w:p>
        </w:tc>
        <w:tc>
          <w:tcPr>
            <w:tcW w:w="2674" w:type="dxa"/>
            <w:tcBorders>
              <w:top w:val="single" w:color="auto" w:sz="4" w:space="0"/>
              <w:left w:val="single" w:color="auto" w:sz="4" w:space="0"/>
              <w:bottom w:val="single" w:color="auto" w:sz="4" w:space="0"/>
              <w:right w:val="single" w:color="auto" w:sz="4" w:space="0"/>
            </w:tcBorders>
            <w:noWrap w:val="0"/>
            <w:vAlign w:val="center"/>
          </w:tcPr>
          <w:p>
            <w:pPr>
              <w:bidi w:val="0"/>
              <w:jc w:val="both"/>
              <w:rPr>
                <w:rFonts w:hint="eastAsia" w:asciiTheme="minorHAnsi" w:hAnsiTheme="minorHAnsi" w:eastAsiaTheme="minorEastAsia" w:cstheme="minorBidi"/>
                <w:kern w:val="2"/>
                <w:sz w:val="21"/>
                <w:szCs w:val="24"/>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《中华人民共和国环境影响评价法》第三十一条第一款规定</w:t>
            </w:r>
          </w:p>
        </w:tc>
        <w:tc>
          <w:tcPr>
            <w:tcW w:w="12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1.5489</w:t>
            </w:r>
          </w:p>
        </w:tc>
        <w:tc>
          <w:tcPr>
            <w:tcW w:w="20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闽榕环罚〔2023〕128号</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福州市闽清生态环境保护综合执法大队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atLeast"/>
        </w:trPr>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tabs>
                <w:tab w:val="left" w:pos="799"/>
              </w:tabs>
              <w:bidi w:val="0"/>
              <w:jc w:val="left"/>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龙岩交通建设集团有限公司</w:t>
            </w:r>
          </w:p>
        </w:tc>
        <w:tc>
          <w:tcPr>
            <w:tcW w:w="4200" w:type="dxa"/>
            <w:tcBorders>
              <w:top w:val="single" w:color="auto" w:sz="4" w:space="0"/>
              <w:left w:val="single" w:color="auto" w:sz="4" w:space="0"/>
              <w:bottom w:val="single" w:color="auto" w:sz="4" w:space="0"/>
              <w:right w:val="single" w:color="auto" w:sz="4" w:space="0"/>
            </w:tcBorders>
            <w:noWrap w:val="0"/>
            <w:vAlign w:val="center"/>
          </w:tcPr>
          <w:p>
            <w:pPr>
              <w:tabs>
                <w:tab w:val="left" w:pos="799"/>
              </w:tabs>
              <w:bidi w:val="0"/>
              <w:jc w:val="left"/>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2023年7月5日接到关于《国务院“互联网+督查”平台留言线索办理台账（第300期）》上级交办件，我局高度重视，立即根据线索点位进行调查。经调查，X123东廷线闽清北站至东桥朱山段公路工程（A段：K0+000～K7+960）建设单位为闽清县交通建设发展有限公司，由龙岩交通建设集团有限公司承建施工。现场检查时，发现该公路工程配套建设石方加工场内堆放的砂土等易产生扬尘的物料未设置围挡并采取覆盖措施，厂区及附近地面积尘严重，水沟内及部分林地表面残留砂土淤泥。</w:t>
            </w:r>
          </w:p>
        </w:tc>
        <w:tc>
          <w:tcPr>
            <w:tcW w:w="26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根据《中华人民共和国大气污染防治法》第一百一十七条规定</w:t>
            </w:r>
          </w:p>
        </w:tc>
        <w:tc>
          <w:tcPr>
            <w:tcW w:w="12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18"/>
                <w:szCs w:val="18"/>
                <w:u w:val="none"/>
                <w:lang w:val="en-US" w:eastAsia="zh-CN" w:bidi="ar-SA"/>
              </w:rPr>
            </w:pPr>
            <w:r>
              <w:rPr>
                <w:rFonts w:hint="eastAsia" w:ascii="仿宋_GB2312" w:hAnsi="宋体" w:eastAsia="仿宋_GB2312" w:cs="仿宋_GB2312"/>
                <w:i w:val="0"/>
                <w:iCs w:val="0"/>
                <w:color w:val="000000"/>
                <w:kern w:val="0"/>
                <w:sz w:val="18"/>
                <w:szCs w:val="18"/>
                <w:u w:val="none"/>
                <w:lang w:val="en-US" w:eastAsia="zh-CN" w:bidi="ar"/>
              </w:rPr>
              <w:t>1.6429</w:t>
            </w:r>
          </w:p>
        </w:tc>
        <w:tc>
          <w:tcPr>
            <w:tcW w:w="20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闽榕环罚〔2023〕147号</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福州市闽清生态环境保护综合执法大队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atLeast"/>
        </w:trPr>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tabs>
                <w:tab w:val="left" w:pos="799"/>
              </w:tabs>
              <w:bidi w:val="0"/>
              <w:jc w:val="left"/>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福建省闽清腾龙陶瓷有限公司</w:t>
            </w:r>
          </w:p>
        </w:tc>
        <w:tc>
          <w:tcPr>
            <w:tcW w:w="4200" w:type="dxa"/>
            <w:tcBorders>
              <w:top w:val="single" w:color="auto" w:sz="4" w:space="0"/>
              <w:left w:val="single" w:color="auto" w:sz="4" w:space="0"/>
              <w:bottom w:val="single" w:color="auto" w:sz="4" w:space="0"/>
              <w:right w:val="single" w:color="auto" w:sz="4" w:space="0"/>
            </w:tcBorders>
            <w:noWrap w:val="0"/>
            <w:vAlign w:val="center"/>
          </w:tcPr>
          <w:p>
            <w:pPr>
              <w:tabs>
                <w:tab w:val="left" w:pos="799"/>
              </w:tabs>
              <w:bidi w:val="0"/>
              <w:jc w:val="left"/>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我局执法人员于2023年7月4日对福建省闽清腾龙陶瓷有限公司进行检查。现场检查时，发现该公司北侧球磨车间天台上有污水排放。经查，该公司在球磨车间天台并排设置两个圆柱体污水收集罐，每个罐体约可贮存170吨污水，主要收集车间生产废水，两个罐体底部可互通，北侧方向罐体（2#）顶部设置一根圆形溢流管道，管道口径约10公分，长约50公分，现场检查时该溢流管道有污水排出。污水流经该公司天台北侧围堰，围堰高度约15公分，污水漫过围堰低洼处流经该公司窑炉车间屋顶的彩钢瓦流向球磨车间北侧雨水沟，最终排入位于该公司南侧的梅溪。7月7日，闽清环境监测站出具了监测报告（梅环监测[2023]水字第031号），报告显示该公司排放的污水中含有cod、氨氮、悬浮物、挥发酚等二类污染物。（违反规定向水体排污，污染物排放方式和排放去向与排污许可证规定不符）</w:t>
            </w:r>
          </w:p>
        </w:tc>
        <w:tc>
          <w:tcPr>
            <w:tcW w:w="2674" w:type="dxa"/>
            <w:tcBorders>
              <w:top w:val="single" w:color="auto" w:sz="4" w:space="0"/>
              <w:left w:val="single" w:color="auto" w:sz="4" w:space="0"/>
              <w:bottom w:val="single" w:color="auto" w:sz="4" w:space="0"/>
              <w:right w:val="single" w:color="auto" w:sz="4" w:space="0"/>
            </w:tcBorders>
            <w:noWrap w:val="0"/>
            <w:vAlign w:val="center"/>
          </w:tcPr>
          <w:p>
            <w:pPr>
              <w:tabs>
                <w:tab w:val="left" w:pos="799"/>
              </w:tabs>
              <w:bidi w:val="0"/>
              <w:jc w:val="left"/>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依据《排污许可管理条例》第三十六条第二项的规定</w:t>
            </w:r>
          </w:p>
        </w:tc>
        <w:tc>
          <w:tcPr>
            <w:tcW w:w="1278" w:type="dxa"/>
            <w:tcBorders>
              <w:top w:val="single" w:color="auto" w:sz="4" w:space="0"/>
              <w:left w:val="single" w:color="auto" w:sz="4" w:space="0"/>
              <w:bottom w:val="single" w:color="auto" w:sz="4" w:space="0"/>
              <w:right w:val="single" w:color="auto" w:sz="4" w:space="0"/>
            </w:tcBorders>
            <w:noWrap w:val="0"/>
            <w:vAlign w:val="center"/>
          </w:tcPr>
          <w:p>
            <w:pPr>
              <w:tabs>
                <w:tab w:val="left" w:pos="799"/>
              </w:tabs>
              <w:bidi w:val="0"/>
              <w:jc w:val="left"/>
              <w:rPr>
                <w:rFonts w:hint="eastAsia" w:ascii="宋体" w:hAnsi="宋体" w:eastAsia="宋体" w:cs="宋体"/>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2.48</w:t>
            </w:r>
          </w:p>
        </w:tc>
        <w:tc>
          <w:tcPr>
            <w:tcW w:w="2055" w:type="dxa"/>
            <w:tcBorders>
              <w:top w:val="single" w:color="auto" w:sz="4" w:space="0"/>
              <w:left w:val="single" w:color="auto" w:sz="4" w:space="0"/>
              <w:bottom w:val="single" w:color="auto" w:sz="4" w:space="0"/>
              <w:right w:val="single" w:color="auto" w:sz="4" w:space="0"/>
            </w:tcBorders>
            <w:noWrap w:val="0"/>
            <w:vAlign w:val="center"/>
          </w:tcPr>
          <w:p>
            <w:pPr>
              <w:tabs>
                <w:tab w:val="left" w:pos="799"/>
              </w:tabs>
              <w:bidi w:val="0"/>
              <w:jc w:val="left"/>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闽榕环罚〔2023〕151号</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tabs>
                <w:tab w:val="left" w:pos="799"/>
              </w:tabs>
              <w:bidi w:val="0"/>
              <w:jc w:val="left"/>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福州市闽清生态环境保护综合执法大队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atLeast"/>
        </w:trPr>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tabs>
                <w:tab w:val="left" w:pos="799"/>
              </w:tabs>
              <w:bidi w:val="0"/>
              <w:jc w:val="left"/>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闽清县渡口建兴装卸场</w:t>
            </w:r>
          </w:p>
        </w:tc>
        <w:tc>
          <w:tcPr>
            <w:tcW w:w="4200" w:type="dxa"/>
            <w:tcBorders>
              <w:top w:val="single" w:color="auto" w:sz="4" w:space="0"/>
              <w:left w:val="single" w:color="auto" w:sz="4" w:space="0"/>
              <w:bottom w:val="single" w:color="auto" w:sz="4" w:space="0"/>
              <w:right w:val="single" w:color="auto" w:sz="4" w:space="0"/>
            </w:tcBorders>
            <w:noWrap w:val="0"/>
            <w:vAlign w:val="center"/>
          </w:tcPr>
          <w:p>
            <w:pPr>
              <w:tabs>
                <w:tab w:val="left" w:pos="799"/>
              </w:tabs>
              <w:bidi w:val="0"/>
              <w:jc w:val="left"/>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2023年7月5日福州市闽清生态环境局执法人员对闽清县渡口建兴装卸场进行检查，发现该公司位于管理房北侧方向堆放有机制砂，占地1千多平方，未采取密闭及围挡措施，也未采取其他防治扬尘污染措施，堆放机制砂场周边草地可见部分砂子积尘。)</w:t>
            </w:r>
          </w:p>
        </w:tc>
        <w:tc>
          <w:tcPr>
            <w:tcW w:w="2674" w:type="dxa"/>
            <w:tcBorders>
              <w:top w:val="single" w:color="auto" w:sz="4" w:space="0"/>
              <w:left w:val="single" w:color="auto" w:sz="4" w:space="0"/>
              <w:bottom w:val="single" w:color="auto" w:sz="4" w:space="0"/>
              <w:right w:val="single" w:color="auto" w:sz="4" w:space="0"/>
            </w:tcBorders>
            <w:noWrap w:val="0"/>
            <w:vAlign w:val="center"/>
          </w:tcPr>
          <w:p>
            <w:pPr>
              <w:tabs>
                <w:tab w:val="left" w:pos="799"/>
              </w:tabs>
              <w:bidi w:val="0"/>
              <w:jc w:val="left"/>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依据《中华人民共和国大气污染防治法》第一百一十七条</w:t>
            </w:r>
          </w:p>
        </w:tc>
        <w:tc>
          <w:tcPr>
            <w:tcW w:w="1278" w:type="dxa"/>
            <w:tcBorders>
              <w:top w:val="single" w:color="auto" w:sz="4" w:space="0"/>
              <w:left w:val="single" w:color="auto" w:sz="4" w:space="0"/>
              <w:bottom w:val="single" w:color="auto" w:sz="4" w:space="0"/>
              <w:right w:val="single" w:color="auto" w:sz="4" w:space="0"/>
            </w:tcBorders>
            <w:noWrap w:val="0"/>
            <w:vAlign w:val="center"/>
          </w:tcPr>
          <w:p>
            <w:pPr>
              <w:tabs>
                <w:tab w:val="left" w:pos="799"/>
              </w:tabs>
              <w:bidi w:val="0"/>
              <w:jc w:val="left"/>
              <w:rPr>
                <w:rFonts w:hint="eastAsia" w:ascii="宋体" w:hAnsi="宋体" w:eastAsia="宋体" w:cs="宋体"/>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1.3857</w:t>
            </w:r>
          </w:p>
        </w:tc>
        <w:tc>
          <w:tcPr>
            <w:tcW w:w="2055" w:type="dxa"/>
            <w:tcBorders>
              <w:top w:val="single" w:color="auto" w:sz="4" w:space="0"/>
              <w:left w:val="single" w:color="auto" w:sz="4" w:space="0"/>
              <w:bottom w:val="single" w:color="auto" w:sz="4" w:space="0"/>
              <w:right w:val="single" w:color="auto" w:sz="4" w:space="0"/>
            </w:tcBorders>
            <w:noWrap w:val="0"/>
            <w:vAlign w:val="center"/>
          </w:tcPr>
          <w:p>
            <w:pPr>
              <w:tabs>
                <w:tab w:val="left" w:pos="799"/>
              </w:tabs>
              <w:bidi w:val="0"/>
              <w:jc w:val="left"/>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闽榕环罚〔2023〕150号</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tabs>
                <w:tab w:val="left" w:pos="799"/>
              </w:tabs>
              <w:bidi w:val="0"/>
              <w:jc w:val="left"/>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福州市闽清生态环境保护综合执法大队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atLeast"/>
        </w:trPr>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闽清嘉兴陶瓷有限公司</w:t>
            </w:r>
          </w:p>
        </w:tc>
        <w:tc>
          <w:tcPr>
            <w:tcW w:w="4200" w:type="dxa"/>
            <w:tcBorders>
              <w:top w:val="single" w:color="auto" w:sz="4" w:space="0"/>
              <w:left w:val="single" w:color="auto" w:sz="4" w:space="0"/>
              <w:bottom w:val="single" w:color="auto" w:sz="4" w:space="0"/>
              <w:right w:val="single" w:color="auto" w:sz="4" w:space="0"/>
            </w:tcBorders>
            <w:noWrap w:val="0"/>
            <w:vAlign w:val="center"/>
          </w:tcPr>
          <w:p>
            <w:pPr>
              <w:tabs>
                <w:tab w:val="left" w:pos="799"/>
              </w:tabs>
              <w:bidi w:val="0"/>
              <w:jc w:val="left"/>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污染物排放自动监测设备的主要装置或者核心部件更换未重新验收</w:t>
            </w:r>
          </w:p>
        </w:tc>
        <w:tc>
          <w:tcPr>
            <w:tcW w:w="2674"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根据《福建省固定污染源自动监控管理办法》第三十条第（二）项</w:t>
            </w:r>
          </w:p>
        </w:tc>
        <w:tc>
          <w:tcPr>
            <w:tcW w:w="1278" w:type="dxa"/>
            <w:tcBorders>
              <w:top w:val="single" w:color="auto" w:sz="4" w:space="0"/>
              <w:left w:val="single" w:color="auto" w:sz="4" w:space="0"/>
              <w:bottom w:val="single" w:color="auto" w:sz="4" w:space="0"/>
              <w:right w:val="single" w:color="auto" w:sz="4" w:space="0"/>
            </w:tcBorders>
            <w:noWrap w:val="0"/>
            <w:vAlign w:val="center"/>
          </w:tcPr>
          <w:p>
            <w:pPr>
              <w:tabs>
                <w:tab w:val="left" w:pos="799"/>
              </w:tabs>
              <w:bidi w:val="0"/>
              <w:jc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3.0125</w:t>
            </w:r>
          </w:p>
        </w:tc>
        <w:tc>
          <w:tcPr>
            <w:tcW w:w="20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闽榕环罚〔2023〕189号</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bidi w:val="0"/>
              <w:jc w:val="left"/>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福州市闽清生态环境保护综合执法大队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atLeast"/>
        </w:trPr>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11</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60" w:lineRule="auto"/>
              <w:jc w:val="center"/>
              <w:textAlignment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福建省闽清蓝天陶瓷有限公司</w:t>
            </w:r>
          </w:p>
        </w:tc>
        <w:tc>
          <w:tcPr>
            <w:tcW w:w="4200" w:type="dxa"/>
            <w:tcBorders>
              <w:top w:val="single" w:color="auto" w:sz="4" w:space="0"/>
              <w:left w:val="single" w:color="auto" w:sz="4" w:space="0"/>
              <w:bottom w:val="single" w:color="auto" w:sz="4" w:space="0"/>
              <w:right w:val="single" w:color="auto" w:sz="4" w:space="0"/>
            </w:tcBorders>
            <w:noWrap w:val="0"/>
            <w:vAlign w:val="center"/>
          </w:tcPr>
          <w:p>
            <w:pPr>
              <w:tabs>
                <w:tab w:val="left" w:pos="799"/>
              </w:tabs>
              <w:bidi w:val="0"/>
              <w:jc w:val="left"/>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在未重新报批建设项目环境影响评价前提下擅自开工建设煤气站。</w:t>
            </w:r>
          </w:p>
        </w:tc>
        <w:tc>
          <w:tcPr>
            <w:tcW w:w="2674" w:type="dxa"/>
            <w:tcBorders>
              <w:top w:val="single" w:color="auto" w:sz="4" w:space="0"/>
              <w:left w:val="single" w:color="auto" w:sz="4" w:space="0"/>
              <w:bottom w:val="single" w:color="auto" w:sz="4" w:space="0"/>
              <w:right w:val="single" w:color="auto" w:sz="4" w:space="0"/>
            </w:tcBorders>
            <w:noWrap w:val="0"/>
            <w:vAlign w:val="center"/>
          </w:tcPr>
          <w:p>
            <w:pPr>
              <w:tabs>
                <w:tab w:val="left" w:pos="799"/>
              </w:tabs>
              <w:bidi w:val="0"/>
              <w:jc w:val="left"/>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根据《中华人民共和国环境影响评价法》第三十一条第一款规定</w:t>
            </w:r>
          </w:p>
        </w:tc>
        <w:tc>
          <w:tcPr>
            <w:tcW w:w="1278" w:type="dxa"/>
            <w:tcBorders>
              <w:top w:val="single" w:color="auto" w:sz="4" w:space="0"/>
              <w:left w:val="single" w:color="auto" w:sz="4" w:space="0"/>
              <w:bottom w:val="single" w:color="auto" w:sz="4" w:space="0"/>
              <w:right w:val="single" w:color="auto" w:sz="4" w:space="0"/>
            </w:tcBorders>
            <w:noWrap w:val="0"/>
            <w:vAlign w:val="center"/>
          </w:tcPr>
          <w:p>
            <w:pPr>
              <w:tabs>
                <w:tab w:val="left" w:pos="799"/>
              </w:tabs>
              <w:bidi w:val="0"/>
              <w:jc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2.7411</w:t>
            </w:r>
          </w:p>
        </w:tc>
        <w:tc>
          <w:tcPr>
            <w:tcW w:w="20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闽榕</w:t>
            </w:r>
            <w:bookmarkStart w:id="0" w:name="_GoBack"/>
            <w:bookmarkEnd w:id="0"/>
            <w:r>
              <w:rPr>
                <w:rFonts w:hint="eastAsia" w:ascii="仿宋_GB2312" w:hAnsi="宋体" w:eastAsia="仿宋_GB2312" w:cs="仿宋_GB2312"/>
                <w:i w:val="0"/>
                <w:iCs w:val="0"/>
                <w:color w:val="000000"/>
                <w:kern w:val="0"/>
                <w:sz w:val="18"/>
                <w:szCs w:val="18"/>
                <w:u w:val="none"/>
                <w:lang w:val="en-US" w:eastAsia="zh-CN" w:bidi="ar"/>
              </w:rPr>
              <w:t>环罚〔2023〕190号</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bidi w:val="0"/>
              <w:jc w:val="left"/>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福州市闽清生态环境保护综合执法大队</w:t>
            </w:r>
          </w:p>
        </w:tc>
      </w:tr>
    </w:tbl>
    <w:p>
      <w:pPr>
        <w:rPr>
          <w:rFonts w:hint="eastAsia" w:asciiTheme="minorEastAsia" w:hAnsiTheme="minorEastAsia" w:eastAsiaTheme="minorEastAsia" w:cstheme="minorEastAsia"/>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kMWUwYjcxMzEzZTk2ZDYyZTg5NWQyYTQ1ZWZlYWIifQ=="/>
  </w:docVars>
  <w:rsids>
    <w:rsidRoot w:val="38F256B8"/>
    <w:rsid w:val="03EE62BE"/>
    <w:rsid w:val="05681F28"/>
    <w:rsid w:val="093C34A6"/>
    <w:rsid w:val="19284EBD"/>
    <w:rsid w:val="1A020F55"/>
    <w:rsid w:val="1C18541C"/>
    <w:rsid w:val="2A3A138D"/>
    <w:rsid w:val="2E0C55B8"/>
    <w:rsid w:val="305C31DA"/>
    <w:rsid w:val="37F00AC9"/>
    <w:rsid w:val="383C30D8"/>
    <w:rsid w:val="38F256B8"/>
    <w:rsid w:val="3B5E36D9"/>
    <w:rsid w:val="3C3B1DC2"/>
    <w:rsid w:val="3E63627B"/>
    <w:rsid w:val="3EE5198E"/>
    <w:rsid w:val="44862B57"/>
    <w:rsid w:val="47552538"/>
    <w:rsid w:val="48364137"/>
    <w:rsid w:val="4D3A55F0"/>
    <w:rsid w:val="50282B54"/>
    <w:rsid w:val="5063336A"/>
    <w:rsid w:val="50FF4CF0"/>
    <w:rsid w:val="53F64E04"/>
    <w:rsid w:val="545A4256"/>
    <w:rsid w:val="5A9C123A"/>
    <w:rsid w:val="5AF4535D"/>
    <w:rsid w:val="5C2119A0"/>
    <w:rsid w:val="5EB83FE1"/>
    <w:rsid w:val="64A056A0"/>
    <w:rsid w:val="665F7DA3"/>
    <w:rsid w:val="68E07282"/>
    <w:rsid w:val="73677F60"/>
    <w:rsid w:val="7380650F"/>
    <w:rsid w:val="7A4B5ADB"/>
    <w:rsid w:val="7B550AC8"/>
    <w:rsid w:val="7C7A4BE6"/>
    <w:rsid w:val="7CFB25E5"/>
    <w:rsid w:val="7F080A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21"/>
    <w:basedOn w:val="3"/>
    <w:qFormat/>
    <w:uiPriority w:val="0"/>
    <w:rPr>
      <w:rFonts w:hint="eastAsia" w:ascii="仿宋_GB2312" w:eastAsia="仿宋_GB2312" w:cs="仿宋_GB2312"/>
      <w:color w:val="FF0000"/>
      <w:sz w:val="18"/>
      <w:szCs w:val="18"/>
      <w:u w:val="none"/>
    </w:rPr>
  </w:style>
  <w:style w:type="character" w:customStyle="1" w:styleId="5">
    <w:name w:val="font01"/>
    <w:basedOn w:val="3"/>
    <w:qFormat/>
    <w:uiPriority w:val="0"/>
    <w:rPr>
      <w:rFonts w:hint="eastAsia" w:ascii="仿宋_GB2312" w:eastAsia="仿宋_GB2312" w:cs="仿宋_GB2312"/>
      <w:color w:val="000000"/>
      <w:sz w:val="18"/>
      <w:szCs w:val="18"/>
      <w:u w:val="none"/>
    </w:rPr>
  </w:style>
  <w:style w:type="character" w:customStyle="1" w:styleId="6">
    <w:name w:val="font31"/>
    <w:basedOn w:val="3"/>
    <w:qFormat/>
    <w:uiPriority w:val="0"/>
    <w:rPr>
      <w:rFonts w:hint="eastAsia" w:ascii="仿宋_GB2312" w:eastAsia="仿宋_GB2312" w:cs="仿宋_GB2312"/>
      <w:color w:val="FF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613</Words>
  <Characters>637</Characters>
  <Lines>0</Lines>
  <Paragraphs>0</Paragraphs>
  <TotalTime>0</TotalTime>
  <ScaleCrop>false</ScaleCrop>
  <LinksUpToDate>false</LinksUpToDate>
  <CharactersWithSpaces>637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2022-03-07T07:37:00Z</dcterms:created>
  <dc:creator>mogu</dc:creator>
  <cp:lastModifiedBy>Administrator</cp:lastModifiedBy>
  <dcterms:modified xsi:type="dcterms:W3CDTF">2023-11-16T00:57:43Z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652A85F65BBD4926896A1E8F07D71C7A</vt:lpwstr>
  </property>
</Properties>
</file>