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after="0"/>
        <w:jc w:val="center"/>
        <w:rPr>
          <w:rStyle w:val="7"/>
          <w:rFonts w:hint="eastAsia" w:ascii="宋体" w:hAnsi="宋体" w:eastAsia="宋体" w:cs="宋体"/>
          <w:sz w:val="30"/>
          <w:szCs w:val="30"/>
          <w:lang w:val="en-US" w:eastAsia="zh-CN"/>
        </w:rPr>
      </w:pPr>
      <w:r>
        <w:rPr>
          <w:rStyle w:val="7"/>
          <w:rFonts w:hint="eastAsia" w:ascii="宋体" w:hAnsi="宋体" w:cs="宋体"/>
          <w:sz w:val="30"/>
          <w:szCs w:val="30"/>
        </w:rPr>
        <w:t>询价邀请</w:t>
      </w:r>
      <w:r>
        <w:rPr>
          <w:rStyle w:val="7"/>
          <w:rFonts w:hint="eastAsia" w:ascii="宋体" w:hAnsi="宋体" w:cs="宋体"/>
          <w:sz w:val="30"/>
          <w:szCs w:val="30"/>
          <w:lang w:eastAsia="zh-CN"/>
        </w:rPr>
        <w:t>书</w:t>
      </w:r>
      <w:bookmarkStart w:id="0" w:name="_GoBack"/>
      <w:bookmarkEnd w:id="0"/>
    </w:p>
    <w:p>
      <w:pPr>
        <w:pStyle w:val="3"/>
        <w:ind w:firstLine="482" w:firstLineChars="200"/>
        <w:jc w:val="left"/>
        <w:rPr>
          <w:sz w:val="24"/>
          <w:szCs w:val="24"/>
        </w:rPr>
      </w:pPr>
      <w:r>
        <w:rPr>
          <w:rFonts w:hint="eastAsia"/>
          <w:sz w:val="24"/>
          <w:szCs w:val="24"/>
        </w:rPr>
        <w:t>闽清县农业农村局采用</w:t>
      </w:r>
      <w:r>
        <w:rPr>
          <w:rFonts w:hint="eastAsia"/>
          <w:sz w:val="24"/>
          <w:szCs w:val="24"/>
          <w:u w:val="single"/>
        </w:rPr>
        <w:t>询价采购</w:t>
      </w:r>
      <w:r>
        <w:rPr>
          <w:rFonts w:hint="eastAsia"/>
          <w:sz w:val="24"/>
          <w:szCs w:val="24"/>
        </w:rPr>
        <w:t>方式组织</w:t>
      </w:r>
      <w:r>
        <w:rPr>
          <w:rFonts w:hint="eastAsia"/>
          <w:sz w:val="24"/>
          <w:szCs w:val="24"/>
          <w:u w:val="single"/>
          <w:lang w:eastAsia="zh-CN"/>
        </w:rPr>
        <w:t>2021-2022年高标准农田建设项目竣工复核测量服务采购</w:t>
      </w:r>
      <w:r>
        <w:rPr>
          <w:rFonts w:hint="eastAsia"/>
          <w:sz w:val="24"/>
          <w:szCs w:val="24"/>
        </w:rPr>
        <w:t>项目（以下简称：“本项目”）的政府采购活动，现采用发布公告方式，邀请供应商参加报价。</w:t>
      </w:r>
    </w:p>
    <w:p>
      <w:pPr>
        <w:pStyle w:val="4"/>
        <w:widowControl/>
        <w:spacing w:before="100" w:beforeAutospacing="1" w:after="100" w:afterAutospacing="1"/>
        <w:ind w:firstLine="480"/>
        <w:rPr>
          <w:sz w:val="24"/>
          <w:szCs w:val="24"/>
        </w:rPr>
      </w:pPr>
      <w:r>
        <w:rPr>
          <w:rFonts w:ascii="宋体" w:hAnsi="宋体" w:cs="宋体"/>
          <w:sz w:val="24"/>
          <w:szCs w:val="24"/>
        </w:rPr>
        <w:t>1</w:t>
      </w:r>
      <w:r>
        <w:rPr>
          <w:rFonts w:hint="eastAsia" w:ascii="宋体" w:hAnsi="宋体" w:cs="宋体"/>
          <w:sz w:val="24"/>
          <w:szCs w:val="24"/>
        </w:rPr>
        <w:t>、备案编号：/。</w:t>
      </w:r>
    </w:p>
    <w:p>
      <w:pPr>
        <w:pStyle w:val="4"/>
        <w:widowControl/>
        <w:spacing w:before="100" w:beforeAutospacing="1" w:after="100" w:afterAutospacing="1"/>
        <w:ind w:firstLine="480"/>
      </w:pPr>
      <w:r>
        <w:rPr>
          <w:rFonts w:hint="eastAsia" w:ascii="宋体" w:hAnsi="宋体" w:cs="宋体"/>
        </w:rPr>
        <w:t>2、项目编号：GFL(CG)202</w:t>
      </w:r>
      <w:r>
        <w:rPr>
          <w:rFonts w:hint="eastAsia" w:ascii="宋体" w:hAnsi="宋体" w:cs="宋体"/>
          <w:lang w:val="en-US" w:eastAsia="zh-CN"/>
        </w:rPr>
        <w:t>2</w:t>
      </w:r>
      <w:r>
        <w:rPr>
          <w:rFonts w:hint="eastAsia" w:ascii="宋体" w:hAnsi="宋体" w:cs="宋体"/>
        </w:rPr>
        <w:t>-0</w:t>
      </w:r>
      <w:r>
        <w:rPr>
          <w:rFonts w:hint="eastAsia" w:ascii="宋体" w:hAnsi="宋体" w:cs="宋体"/>
          <w:lang w:val="en-US" w:eastAsia="zh-CN"/>
        </w:rPr>
        <w:t>11</w:t>
      </w:r>
      <w:r>
        <w:rPr>
          <w:rFonts w:hint="eastAsia" w:ascii="宋体" w:hAnsi="宋体" w:cs="宋体"/>
        </w:rPr>
        <w:t>。</w:t>
      </w:r>
    </w:p>
    <w:p>
      <w:pPr>
        <w:pStyle w:val="4"/>
        <w:widowControl/>
        <w:spacing w:beforeAutospacing="1" w:after="100" w:afterAutospacing="1"/>
        <w:ind w:firstLine="480"/>
      </w:pPr>
      <w:r>
        <w:rPr>
          <w:rFonts w:hint="eastAsia" w:ascii="宋体" w:hAnsi="宋体" w:cs="宋体"/>
        </w:rPr>
        <w:t>3、询价内容及要求：详见附</w:t>
      </w:r>
      <w:r>
        <w:rPr>
          <w:rFonts w:cs="Calibri"/>
        </w:rPr>
        <w:t>2</w:t>
      </w:r>
      <w:r>
        <w:rPr>
          <w:rFonts w:hint="eastAsia" w:ascii="宋体" w:hAnsi="宋体" w:cs="宋体"/>
        </w:rPr>
        <w:t>：《采购标的一览表及询价通知书第四章》。</w:t>
      </w:r>
    </w:p>
    <w:p>
      <w:pPr>
        <w:pStyle w:val="8"/>
      </w:pPr>
      <w:r>
        <w:rPr>
          <w:rFonts w:hint="eastAsia"/>
        </w:rPr>
        <w:t>4、需要落实的政府采购政策：小型、微型企业符合财政部、工信部文件（财库〔2020〕46号），适用于本项目。监狱企业，适用于本项目。促进残疾人就业 ，适用于本项目。信用记录，适用于本项目，按照下列规定执行：（1）报价人应在（填写磋商文件要求的截止时点）前分别通过“信用中国”网站（www.creditchina.gov.cn）、中国政府采购网（www.ccgp.gov.cn）查询并打印相应的信用记录（以下简称：“报价人提供的查询结果”），报价人提供的查询结果应为其通过上述网站获取的信用信息查询结果原始页面的打印件（或截图）。（2）查询结果的审查：①由资格审查小组通过上述网站查询并打印投标人信用记录（以下简称：“资格审查小组的查询结果”）。②报价人提供的查询结果与资格审查小组的查询结果不一致的，以资格审查小组的查询结果为准。③因上述网站原因导致资格审查小组无法查询报价人信用记录的（资格审查小组应将通过上述网站查询报价人信用记录时的原始页面打印后随采购文件一并存档），以报价人提供的查询结果为准。④查询结果存在报价人应被拒绝参与政府采购活动相关信息的，其资格审查不合格。</w:t>
      </w:r>
    </w:p>
    <w:p>
      <w:pPr>
        <w:pStyle w:val="4"/>
        <w:widowControl/>
        <w:spacing w:beforeAutospacing="1" w:after="100" w:afterAutospacing="1"/>
        <w:ind w:firstLine="480"/>
      </w:pPr>
      <w:r>
        <w:rPr>
          <w:rFonts w:hint="eastAsia" w:ascii="宋体" w:hAnsi="宋体" w:cs="宋体"/>
        </w:rPr>
        <w:t>5、供应商的资格要求</w:t>
      </w:r>
    </w:p>
    <w:p>
      <w:pPr>
        <w:pStyle w:val="4"/>
        <w:widowControl/>
        <w:spacing w:beforeAutospacing="1" w:after="100" w:afterAutospacing="1"/>
        <w:ind w:firstLine="480"/>
      </w:pPr>
      <w:r>
        <w:rPr>
          <w:rFonts w:hint="eastAsia" w:ascii="宋体" w:hAnsi="宋体" w:cs="宋体"/>
        </w:rPr>
        <w:t>5.1法定条件：符合政府采购法第二十二条第一款规定的条件。</w:t>
      </w:r>
    </w:p>
    <w:p>
      <w:pPr>
        <w:pStyle w:val="4"/>
        <w:widowControl/>
        <w:spacing w:beforeAutospacing="1" w:after="100" w:afterAutospacing="1"/>
        <w:ind w:firstLine="480"/>
        <w:rPr>
          <w:rStyle w:val="7"/>
          <w:rFonts w:ascii="宋体" w:hAnsi="宋体" w:cs="宋体"/>
        </w:rPr>
      </w:pPr>
      <w:r>
        <w:rPr>
          <w:rFonts w:hint="eastAsia" w:ascii="宋体" w:hAnsi="宋体" w:cs="宋体"/>
        </w:rPr>
        <w:t>5.2特定条件：</w:t>
      </w:r>
      <w:r>
        <w:rPr>
          <w:rStyle w:val="7"/>
          <w:rFonts w:hint="eastAsia" w:ascii="宋体" w:hAnsi="宋体" w:cs="宋体"/>
        </w:rPr>
        <w:t xml:space="preserve"> </w:t>
      </w:r>
    </w:p>
    <w:p>
      <w:pPr>
        <w:pStyle w:val="4"/>
        <w:widowControl/>
        <w:spacing w:before="100" w:beforeAutospacing="1" w:after="100" w:afterAutospacing="1"/>
        <w:ind w:firstLine="480"/>
        <w:rPr>
          <w:rFonts w:ascii="微软雅黑" w:hAnsi="微软雅黑" w:eastAsia="微软雅黑" w:cs="微软雅黑"/>
          <w:color w:val="000000"/>
          <w:sz w:val="27"/>
          <w:szCs w:val="27"/>
        </w:rPr>
      </w:pPr>
      <w:r>
        <w:rPr>
          <w:rStyle w:val="7"/>
          <w:rFonts w:ascii="宋体" w:hAnsi="宋体" w:cs="宋体"/>
          <w:color w:val="000000"/>
        </w:rPr>
        <w:t>包：1</w:t>
      </w:r>
    </w:p>
    <w:tbl>
      <w:tblPr>
        <w:tblStyle w:val="5"/>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4096"/>
        <w:gridCol w:w="500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2250" w:type="pct"/>
            <w:vAlign w:val="center"/>
          </w:tcPr>
          <w:p>
            <w:pPr>
              <w:widowControl/>
              <w:jc w:val="center"/>
              <w:rPr>
                <w:rFonts w:ascii="宋体" w:hAnsi="宋体"/>
                <w:kern w:val="0"/>
                <w:sz w:val="24"/>
              </w:rPr>
            </w:pPr>
            <w:r>
              <w:rPr>
                <w:rFonts w:hint="eastAsia" w:ascii="宋体" w:hAnsi="宋体"/>
                <w:kern w:val="0"/>
                <w:sz w:val="24"/>
              </w:rPr>
              <w:t>明细</w:t>
            </w:r>
          </w:p>
        </w:tc>
        <w:tc>
          <w:tcPr>
            <w:tcW w:w="2750" w:type="pct"/>
            <w:vAlign w:val="center"/>
          </w:tcPr>
          <w:p>
            <w:pPr>
              <w:widowControl/>
              <w:jc w:val="center"/>
              <w:rPr>
                <w:rFonts w:ascii="宋体" w:hAnsi="宋体"/>
                <w:kern w:val="0"/>
                <w:sz w:val="24"/>
              </w:rPr>
            </w:pPr>
            <w:r>
              <w:rPr>
                <w:rFonts w:hint="eastAsia" w:ascii="宋体" w:hAnsi="宋体"/>
                <w:kern w:val="0"/>
                <w:sz w:val="24"/>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vAlign w:val="center"/>
          </w:tcPr>
          <w:p>
            <w:pPr>
              <w:widowControl/>
              <w:jc w:val="left"/>
              <w:rPr>
                <w:rFonts w:ascii="宋体" w:hAnsi="宋体"/>
                <w:kern w:val="0"/>
                <w:sz w:val="24"/>
              </w:rPr>
            </w:pPr>
            <w:r>
              <w:rPr>
                <w:rFonts w:hint="eastAsia" w:ascii="宋体" w:hAnsi="宋体"/>
                <w:kern w:val="0"/>
                <w:sz w:val="24"/>
              </w:rPr>
              <w:t>关于一般资格证明文件中“经审计的上一年度的年度财务报告”的说明</w:t>
            </w:r>
          </w:p>
        </w:tc>
        <w:tc>
          <w:tcPr>
            <w:tcW w:w="0" w:type="auto"/>
            <w:vAlign w:val="center"/>
          </w:tcPr>
          <w:p>
            <w:pPr>
              <w:widowControl/>
              <w:jc w:val="left"/>
              <w:rPr>
                <w:rFonts w:ascii="宋体" w:hAnsi="宋体"/>
                <w:kern w:val="0"/>
                <w:sz w:val="24"/>
              </w:rPr>
            </w:pPr>
            <w:r>
              <w:rPr>
                <w:rFonts w:hint="eastAsia" w:ascii="宋体" w:hAnsi="宋体"/>
                <w:kern w:val="0"/>
                <w:sz w:val="24"/>
              </w:rPr>
              <w:t>提供20</w:t>
            </w:r>
            <w:r>
              <w:rPr>
                <w:rFonts w:hint="eastAsia" w:ascii="宋体" w:hAnsi="宋体"/>
                <w:kern w:val="0"/>
                <w:sz w:val="24"/>
                <w:lang w:val="en-US" w:eastAsia="zh-CN"/>
              </w:rPr>
              <w:t>21</w:t>
            </w:r>
            <w:r>
              <w:rPr>
                <w:rFonts w:hint="eastAsia" w:ascii="宋体" w:hAnsi="宋体"/>
                <w:kern w:val="0"/>
                <w:sz w:val="24"/>
              </w:rPr>
              <w:t>年度经审计的财务报告视同满足询价通知书上一年度财务审计报告的要求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57" w:hRule="atLeast"/>
          <w:tblCellSpacing w:w="0" w:type="dxa"/>
        </w:trPr>
        <w:tc>
          <w:tcPr>
            <w:tcW w:w="4096" w:type="dxa"/>
            <w:vAlign w:val="center"/>
          </w:tcPr>
          <w:p>
            <w:pPr>
              <w:widowControl/>
              <w:jc w:val="left"/>
              <w:rPr>
                <w:rFonts w:hint="eastAsia" w:ascii="宋体" w:hAnsi="宋体"/>
                <w:kern w:val="0"/>
                <w:sz w:val="24"/>
              </w:rPr>
            </w:pPr>
            <w:r>
              <w:rPr>
                <w:rFonts w:hint="eastAsia" w:ascii="宋体" w:hAnsi="宋体"/>
                <w:kern w:val="0"/>
                <w:sz w:val="24"/>
              </w:rPr>
              <w:t>其他资质要求</w:t>
            </w:r>
          </w:p>
        </w:tc>
        <w:tc>
          <w:tcPr>
            <w:tcW w:w="5006" w:type="dxa"/>
            <w:vAlign w:val="center"/>
          </w:tcPr>
          <w:p>
            <w:pPr>
              <w:widowControl/>
              <w:jc w:val="left"/>
              <w:rPr>
                <w:rFonts w:hint="eastAsia" w:ascii="宋体" w:hAnsi="宋体"/>
                <w:kern w:val="0"/>
                <w:sz w:val="24"/>
              </w:rPr>
            </w:pPr>
            <w:r>
              <w:rPr>
                <w:rFonts w:hint="eastAsia" w:ascii="宋体" w:hAnsi="宋体"/>
                <w:kern w:val="0"/>
                <w:sz w:val="24"/>
                <w:highlight w:val="yellow"/>
              </w:rPr>
              <w:t>建设行政主管部门核发的合格有效的工程测绘乙级及以上资质。</w:t>
            </w:r>
          </w:p>
        </w:tc>
      </w:tr>
    </w:tbl>
    <w:p>
      <w:pPr>
        <w:pStyle w:val="4"/>
        <w:widowControl/>
        <w:spacing w:before="100" w:beforeAutospacing="1" w:after="100" w:afterAutospacing="1"/>
        <w:ind w:firstLine="480"/>
        <w:rPr>
          <w:rFonts w:ascii="微软雅黑" w:hAnsi="微软雅黑" w:eastAsia="微软雅黑" w:cs="微软雅黑"/>
          <w:color w:val="000000"/>
          <w:sz w:val="27"/>
          <w:szCs w:val="27"/>
        </w:rPr>
      </w:pPr>
      <w:r>
        <w:rPr>
          <w:rFonts w:hint="eastAsia" w:ascii="宋体" w:hAnsi="宋体" w:cs="宋体"/>
          <w:color w:val="000000"/>
        </w:rPr>
        <w:t>5.3是否接受联合体报价：不接受</w:t>
      </w:r>
    </w:p>
    <w:p>
      <w:pPr>
        <w:pStyle w:val="4"/>
        <w:widowControl/>
        <w:spacing w:beforeAutospacing="1" w:after="100" w:afterAutospacing="1"/>
        <w:ind w:firstLine="480"/>
        <w:rPr>
          <w:rStyle w:val="7"/>
          <w:rFonts w:ascii="宋体" w:hAnsi="宋体" w:cs="宋体"/>
        </w:rPr>
      </w:pPr>
      <w:r>
        <w:rPr>
          <w:rStyle w:val="7"/>
          <w:rFonts w:hint="eastAsia" w:ascii="宋体" w:hAnsi="宋体" w:cs="宋体"/>
        </w:rPr>
        <w:t>※根据上述资格要求，响应文件中应提交的“供应商的资格及资信证明文件”详见询价通知书第六章。</w:t>
      </w:r>
    </w:p>
    <w:p>
      <w:pPr>
        <w:pStyle w:val="4"/>
        <w:widowControl/>
        <w:numPr>
          <w:ilvl w:val="0"/>
          <w:numId w:val="1"/>
        </w:numPr>
        <w:spacing w:before="75" w:after="75"/>
        <w:ind w:firstLine="480"/>
        <w:rPr>
          <w:rFonts w:ascii="宋体" w:hAnsi="宋体" w:cs="宋体"/>
          <w:color w:val="000000"/>
        </w:rPr>
      </w:pPr>
      <w:r>
        <w:rPr>
          <w:rFonts w:hint="eastAsia" w:ascii="宋体" w:hAnsi="宋体" w:cs="宋体"/>
          <w:color w:val="000000"/>
        </w:rPr>
        <w:t>报名</w:t>
      </w:r>
    </w:p>
    <w:p>
      <w:pPr>
        <w:pStyle w:val="4"/>
        <w:widowControl/>
        <w:spacing w:before="75" w:after="75"/>
        <w:ind w:firstLine="480" w:firstLineChars="200"/>
        <w:rPr>
          <w:rFonts w:ascii="宋体" w:hAnsi="宋体" w:cs="宋体"/>
        </w:rPr>
      </w:pPr>
      <w:r>
        <w:rPr>
          <w:rFonts w:hint="eastAsia" w:ascii="宋体" w:hAnsi="宋体" w:cs="宋体"/>
        </w:rPr>
        <w:t>6.1报名期限：202</w:t>
      </w:r>
      <w:r>
        <w:rPr>
          <w:rFonts w:hint="eastAsia" w:ascii="宋体" w:hAnsi="宋体" w:cs="宋体"/>
          <w:lang w:val="en-US" w:eastAsia="zh-CN"/>
        </w:rPr>
        <w:t>2</w:t>
      </w:r>
      <w:r>
        <w:rPr>
          <w:rFonts w:hint="eastAsia" w:ascii="宋体" w:hAnsi="宋体" w:cs="宋体"/>
        </w:rPr>
        <w:t>年</w:t>
      </w:r>
      <w:r>
        <w:rPr>
          <w:rFonts w:hint="eastAsia" w:ascii="宋体" w:hAnsi="宋体" w:cs="宋体"/>
          <w:lang w:val="en-US" w:eastAsia="zh-CN"/>
        </w:rPr>
        <w:t>5</w:t>
      </w:r>
      <w:r>
        <w:rPr>
          <w:rFonts w:hint="eastAsia" w:ascii="宋体" w:hAnsi="宋体" w:cs="宋体"/>
        </w:rPr>
        <w:t>月</w:t>
      </w:r>
      <w:r>
        <w:rPr>
          <w:rFonts w:hint="eastAsia" w:ascii="宋体" w:hAnsi="宋体" w:cs="宋体"/>
          <w:lang w:val="en-US" w:eastAsia="zh-CN"/>
        </w:rPr>
        <w:t>24</w:t>
      </w:r>
      <w:r>
        <w:rPr>
          <w:rFonts w:hint="eastAsia" w:ascii="宋体" w:hAnsi="宋体" w:cs="宋体"/>
        </w:rPr>
        <w:t>日至202</w:t>
      </w:r>
      <w:r>
        <w:rPr>
          <w:rFonts w:hint="eastAsia" w:ascii="宋体" w:hAnsi="宋体" w:cs="宋体"/>
          <w:lang w:val="en-US" w:eastAsia="zh-CN"/>
        </w:rPr>
        <w:t>2</w:t>
      </w:r>
      <w:r>
        <w:rPr>
          <w:rFonts w:hint="eastAsia" w:ascii="宋体" w:hAnsi="宋体" w:cs="宋体"/>
        </w:rPr>
        <w:t>年</w:t>
      </w:r>
      <w:r>
        <w:rPr>
          <w:rFonts w:hint="eastAsia" w:ascii="宋体" w:hAnsi="宋体" w:cs="宋体"/>
          <w:lang w:val="en-US" w:eastAsia="zh-CN"/>
        </w:rPr>
        <w:t>5</w:t>
      </w:r>
      <w:r>
        <w:rPr>
          <w:rFonts w:hint="eastAsia" w:ascii="宋体" w:hAnsi="宋体" w:cs="宋体"/>
        </w:rPr>
        <w:t>月</w:t>
      </w:r>
      <w:r>
        <w:rPr>
          <w:rFonts w:hint="eastAsia" w:ascii="宋体" w:hAnsi="宋体" w:cs="宋体"/>
          <w:lang w:val="en-US" w:eastAsia="zh-CN"/>
        </w:rPr>
        <w:t>27</w:t>
      </w:r>
      <w:r>
        <w:rPr>
          <w:rFonts w:hint="eastAsia" w:ascii="宋体" w:hAnsi="宋体" w:cs="宋体"/>
        </w:rPr>
        <w:t>日（节假日除外），每天上午9:00至12:00，下午14:00至17:00（北京时间）。</w:t>
      </w:r>
    </w:p>
    <w:p>
      <w:pPr>
        <w:pStyle w:val="4"/>
        <w:widowControl/>
        <w:spacing w:before="75" w:after="75"/>
        <w:ind w:firstLine="480"/>
      </w:pPr>
      <w:r>
        <w:rPr>
          <w:rFonts w:hint="eastAsia" w:ascii="宋体" w:hAnsi="宋体" w:cs="宋体"/>
        </w:rPr>
        <w:t>6.2报名期限内，供应商应在报名期限内到福建广福联工程管理有限公司（福州市鼓楼区湖东路</w:t>
      </w:r>
      <w:r>
        <w:rPr>
          <w:rFonts w:ascii="宋体" w:hAnsi="宋体" w:cs="宋体"/>
        </w:rPr>
        <w:t>298</w:t>
      </w:r>
      <w:r>
        <w:rPr>
          <w:rFonts w:hint="eastAsia" w:ascii="宋体" w:hAnsi="宋体" w:cs="宋体"/>
        </w:rPr>
        <w:t>号伊法达大厦</w:t>
      </w:r>
      <w:r>
        <w:rPr>
          <w:rFonts w:ascii="宋体" w:hAnsi="宋体" w:cs="宋体"/>
        </w:rPr>
        <w:t>9</w:t>
      </w:r>
      <w:r>
        <w:rPr>
          <w:rFonts w:hint="eastAsia" w:ascii="宋体" w:hAnsi="宋体" w:cs="宋体"/>
        </w:rPr>
        <w:t>层）购买招标文件，招标文件售价</w:t>
      </w:r>
      <w:r>
        <w:rPr>
          <w:rFonts w:hint="eastAsia" w:ascii="宋体" w:hAnsi="宋体" w:cs="宋体"/>
          <w:lang w:val="en-US" w:eastAsia="zh-CN"/>
        </w:rPr>
        <w:t>2</w:t>
      </w:r>
      <w:r>
        <w:rPr>
          <w:rFonts w:ascii="宋体" w:hAnsi="宋体" w:cs="宋体"/>
        </w:rPr>
        <w:t>00</w:t>
      </w:r>
      <w:r>
        <w:rPr>
          <w:rFonts w:hint="eastAsia" w:ascii="宋体" w:hAnsi="宋体" w:cs="宋体"/>
        </w:rPr>
        <w:t>元人民币、售后不退，如需邮寄，另加</w:t>
      </w:r>
      <w:r>
        <w:rPr>
          <w:rFonts w:ascii="宋体" w:hAnsi="宋体" w:cs="宋体"/>
        </w:rPr>
        <w:t>50</w:t>
      </w:r>
      <w:r>
        <w:rPr>
          <w:rFonts w:hint="eastAsia" w:ascii="宋体" w:hAnsi="宋体" w:cs="宋体"/>
        </w:rPr>
        <w:t>元人民币特快专递费，本招标代理公司不对邮寄过程中的遗失负责。否则</w:t>
      </w:r>
      <w:r>
        <w:rPr>
          <w:rStyle w:val="7"/>
          <w:rFonts w:hint="eastAsia" w:ascii="宋体" w:hAnsi="宋体" w:cs="宋体"/>
        </w:rPr>
        <w:t>投标将被拒绝。</w:t>
      </w:r>
    </w:p>
    <w:p>
      <w:pPr>
        <w:pStyle w:val="4"/>
        <w:widowControl/>
        <w:spacing w:beforeAutospacing="1" w:after="100" w:afterAutospacing="1"/>
        <w:ind w:firstLine="480"/>
        <w:rPr>
          <w:rFonts w:ascii="宋体" w:hAnsi="宋体"/>
        </w:rPr>
      </w:pPr>
      <w:r>
        <w:rPr>
          <w:rFonts w:hint="eastAsia" w:ascii="宋体" w:hAnsi="宋体"/>
        </w:rPr>
        <w:t>7、询价通知书的获取：</w:t>
      </w:r>
    </w:p>
    <w:p>
      <w:pPr>
        <w:pStyle w:val="4"/>
        <w:widowControl/>
        <w:spacing w:beforeAutospacing="1" w:after="100" w:afterAutospacing="1"/>
        <w:ind w:firstLine="480"/>
        <w:rPr>
          <w:rFonts w:ascii="宋体" w:hAnsi="宋体"/>
        </w:rPr>
      </w:pPr>
      <w:r>
        <w:rPr>
          <w:rFonts w:hint="eastAsia" w:ascii="宋体" w:hAnsi="宋体"/>
        </w:rPr>
        <w:t>7.1询价通知书的提供期限：</w:t>
      </w:r>
      <w:r>
        <w:rPr>
          <w:rFonts w:hint="eastAsia" w:ascii="宋体" w:hAnsi="宋体" w:cs="宋体"/>
        </w:rPr>
        <w:t>与报名期限一致</w:t>
      </w:r>
      <w:r>
        <w:rPr>
          <w:rFonts w:hint="eastAsia" w:ascii="宋体" w:hAnsi="宋体"/>
        </w:rPr>
        <w:t>。</w:t>
      </w:r>
    </w:p>
    <w:p>
      <w:pPr>
        <w:pStyle w:val="4"/>
        <w:widowControl/>
        <w:spacing w:beforeAutospacing="1" w:after="100" w:afterAutospacing="1"/>
        <w:ind w:firstLine="480"/>
        <w:rPr>
          <w:rFonts w:ascii="宋体" w:hAnsi="宋体"/>
        </w:rPr>
      </w:pPr>
      <w:r>
        <w:rPr>
          <w:rFonts w:hint="eastAsia" w:ascii="宋体" w:hAnsi="宋体"/>
        </w:rPr>
        <w:t>7.2获取地点及方式：</w:t>
      </w:r>
      <w:r>
        <w:rPr>
          <w:rFonts w:hint="eastAsia" w:ascii="宋体" w:hAnsi="宋体" w:cs="宋体"/>
        </w:rPr>
        <w:t>供应商应在报名期限内到福建广福联工程管理有限公司（福州市鼓楼区湖东路</w:t>
      </w:r>
      <w:r>
        <w:rPr>
          <w:rFonts w:ascii="宋体" w:hAnsi="宋体" w:cs="宋体"/>
        </w:rPr>
        <w:t>298</w:t>
      </w:r>
      <w:r>
        <w:rPr>
          <w:rFonts w:hint="eastAsia" w:ascii="宋体" w:hAnsi="宋体" w:cs="宋体"/>
        </w:rPr>
        <w:t>号伊法达大厦</w:t>
      </w:r>
      <w:r>
        <w:rPr>
          <w:rFonts w:ascii="宋体" w:hAnsi="宋体" w:cs="宋体"/>
        </w:rPr>
        <w:t>9</w:t>
      </w:r>
      <w:r>
        <w:rPr>
          <w:rFonts w:hint="eastAsia" w:ascii="宋体" w:hAnsi="宋体" w:cs="宋体"/>
        </w:rPr>
        <w:t>层）购买招标文件</w:t>
      </w:r>
      <w:r>
        <w:rPr>
          <w:rFonts w:hint="eastAsia" w:ascii="宋体" w:hAnsi="宋体"/>
        </w:rPr>
        <w:t>。</w:t>
      </w:r>
    </w:p>
    <w:p>
      <w:pPr>
        <w:pStyle w:val="4"/>
        <w:widowControl/>
        <w:spacing w:before="75" w:after="75"/>
        <w:ind w:firstLine="480"/>
        <w:rPr>
          <w:rFonts w:ascii="宋体" w:hAnsi="宋体"/>
        </w:rPr>
      </w:pPr>
      <w:r>
        <w:rPr>
          <w:rFonts w:hint="eastAsia" w:ascii="宋体" w:hAnsi="宋体"/>
        </w:rPr>
        <w:t>7.3、询价通知书售价：</w:t>
      </w:r>
      <w:r>
        <w:rPr>
          <w:rFonts w:hint="eastAsia" w:ascii="宋体" w:hAnsi="宋体" w:cs="宋体"/>
        </w:rPr>
        <w:t>招标文件售价</w:t>
      </w:r>
      <w:r>
        <w:rPr>
          <w:rFonts w:ascii="宋体" w:hAnsi="宋体" w:cs="宋体"/>
        </w:rPr>
        <w:t>200</w:t>
      </w:r>
      <w:r>
        <w:rPr>
          <w:rFonts w:hint="eastAsia" w:ascii="宋体" w:hAnsi="宋体" w:cs="宋体"/>
        </w:rPr>
        <w:t>元人民币、售后不退，如需邮寄，另加</w:t>
      </w:r>
      <w:r>
        <w:rPr>
          <w:rFonts w:ascii="宋体" w:hAnsi="宋体" w:cs="宋体"/>
        </w:rPr>
        <w:t>50</w:t>
      </w:r>
      <w:r>
        <w:rPr>
          <w:rFonts w:hint="eastAsia" w:ascii="宋体" w:hAnsi="宋体" w:cs="宋体"/>
        </w:rPr>
        <w:t>元人民币特快专递费，本招标代理公司不对邮寄过程中的遗失负责</w:t>
      </w:r>
      <w:r>
        <w:rPr>
          <w:rFonts w:hint="eastAsia" w:ascii="宋体" w:hAnsi="宋体"/>
        </w:rPr>
        <w:t>。</w:t>
      </w:r>
    </w:p>
    <w:p>
      <w:pPr>
        <w:pStyle w:val="4"/>
        <w:widowControl/>
        <w:spacing w:beforeAutospacing="1" w:after="0"/>
        <w:rPr>
          <w:rFonts w:ascii="微软雅黑" w:hAnsi="微软雅黑" w:eastAsia="微软雅黑" w:cs="微软雅黑"/>
          <w:color w:val="000000"/>
          <w:sz w:val="27"/>
          <w:szCs w:val="27"/>
        </w:rPr>
      </w:pPr>
      <w:r>
        <w:rPr>
          <w:rFonts w:ascii="宋体" w:hAnsi="宋体" w:cs="宋体"/>
          <w:color w:val="000000"/>
        </w:rPr>
        <w:t> </w:t>
      </w:r>
      <w:r>
        <w:rPr>
          <w:rFonts w:hint="eastAsia" w:ascii="宋体" w:hAnsi="宋体" w:cs="宋体"/>
          <w:color w:val="000000"/>
        </w:rPr>
        <w:t xml:space="preserve">  8、提交响应文件截止时间：202</w:t>
      </w:r>
      <w:r>
        <w:rPr>
          <w:rFonts w:hint="eastAsia" w:ascii="宋体" w:hAnsi="宋体" w:cs="宋体"/>
          <w:color w:val="000000"/>
          <w:lang w:val="en-US" w:eastAsia="zh-CN"/>
        </w:rPr>
        <w:t>2</w:t>
      </w:r>
      <w:r>
        <w:rPr>
          <w:rFonts w:hint="eastAsia" w:ascii="宋体" w:hAnsi="宋体" w:cs="宋体"/>
          <w:color w:val="000000"/>
        </w:rPr>
        <w:t>年</w:t>
      </w:r>
      <w:r>
        <w:rPr>
          <w:rFonts w:hint="eastAsia" w:ascii="宋体" w:hAnsi="宋体" w:cs="宋体"/>
          <w:color w:val="000000"/>
          <w:lang w:val="en-US" w:eastAsia="zh-CN"/>
        </w:rPr>
        <w:t>6</w:t>
      </w:r>
      <w:r>
        <w:rPr>
          <w:rFonts w:hint="eastAsia" w:ascii="宋体" w:hAnsi="宋体" w:cs="宋体"/>
          <w:color w:val="000000"/>
        </w:rPr>
        <w:t>月</w:t>
      </w:r>
      <w:r>
        <w:rPr>
          <w:rFonts w:hint="eastAsia" w:ascii="宋体" w:hAnsi="宋体" w:cs="宋体"/>
          <w:color w:val="000000"/>
          <w:lang w:val="en-US" w:eastAsia="zh-CN"/>
        </w:rPr>
        <w:t>6</w:t>
      </w:r>
      <w:r>
        <w:rPr>
          <w:rFonts w:hint="eastAsia" w:ascii="宋体" w:hAnsi="宋体" w:cs="宋体"/>
          <w:color w:val="000000"/>
        </w:rPr>
        <w:t>日</w:t>
      </w:r>
      <w:r>
        <w:rPr>
          <w:rFonts w:hint="eastAsia" w:ascii="宋体" w:hAnsi="宋体" w:cs="宋体"/>
          <w:color w:val="000000"/>
          <w:lang w:eastAsia="zh-CN"/>
        </w:rPr>
        <w:t>上</w:t>
      </w:r>
      <w:r>
        <w:rPr>
          <w:rFonts w:hint="eastAsia" w:ascii="宋体" w:hAnsi="宋体" w:cs="宋体"/>
          <w:color w:val="000000"/>
        </w:rPr>
        <w:t>午</w:t>
      </w:r>
      <w:r>
        <w:rPr>
          <w:rFonts w:hint="eastAsia" w:ascii="宋体" w:hAnsi="宋体" w:cs="宋体"/>
          <w:color w:val="000000"/>
          <w:lang w:val="en-US" w:eastAsia="zh-CN"/>
        </w:rPr>
        <w:t>09</w:t>
      </w:r>
      <w:r>
        <w:rPr>
          <w:rFonts w:hint="eastAsia" w:ascii="宋体" w:hAnsi="宋体" w:cs="宋体"/>
          <w:color w:val="000000"/>
        </w:rPr>
        <w:t>:</w:t>
      </w:r>
      <w:r>
        <w:rPr>
          <w:rFonts w:hint="eastAsia" w:ascii="宋体" w:hAnsi="宋体" w:cs="宋体"/>
          <w:color w:val="000000"/>
          <w:lang w:val="en-US" w:eastAsia="zh-CN"/>
        </w:rPr>
        <w:t>3</w:t>
      </w:r>
      <w:r>
        <w:rPr>
          <w:rFonts w:hint="eastAsia" w:ascii="宋体" w:hAnsi="宋体" w:cs="宋体"/>
          <w:color w:val="000000"/>
        </w:rPr>
        <w:t>0</w:t>
      </w:r>
    </w:p>
    <w:p>
      <w:pPr>
        <w:pStyle w:val="4"/>
        <w:widowControl/>
        <w:spacing w:before="75" w:after="75"/>
        <w:ind w:firstLine="480"/>
        <w:rPr>
          <w:rFonts w:ascii="微软雅黑" w:hAnsi="微软雅黑" w:eastAsia="微软雅黑" w:cs="微软雅黑"/>
          <w:color w:val="000000"/>
          <w:sz w:val="27"/>
          <w:szCs w:val="27"/>
          <w:highlight w:val="none"/>
        </w:rPr>
      </w:pPr>
      <w:r>
        <w:rPr>
          <w:rFonts w:hint="eastAsia" w:ascii="宋体" w:hAnsi="宋体" w:cs="宋体"/>
          <w:color w:val="000000"/>
        </w:rPr>
        <w:t>9、询价时间及地点：</w:t>
      </w:r>
      <w:r>
        <w:rPr>
          <w:rFonts w:hint="eastAsia" w:ascii="宋体" w:hAnsi="宋体" w:cs="宋体"/>
        </w:rPr>
        <w:t>投标人应在投标截止时间前将密封的投标文件送至</w:t>
      </w:r>
      <w:r>
        <w:rPr>
          <w:rFonts w:hint="eastAsia" w:ascii="宋体" w:hAnsi="宋体" w:cs="宋体"/>
          <w:color w:val="auto"/>
          <w:highlight w:val="none"/>
        </w:rPr>
        <w:t>或邮寄</w:t>
      </w:r>
      <w:r>
        <w:rPr>
          <w:rFonts w:hint="eastAsia" w:ascii="宋体" w:hAnsi="宋体" w:cs="宋体"/>
        </w:rPr>
        <w:t>至福建广福联工程管理有限公司</w:t>
      </w:r>
      <w:r>
        <w:rPr>
          <w:rFonts w:hint="eastAsia" w:ascii="宋体" w:hAnsi="宋体" w:cs="宋体"/>
          <w:highlight w:val="none"/>
        </w:rPr>
        <w:t>（地址：福州市鼓楼区湖东路</w:t>
      </w:r>
      <w:r>
        <w:rPr>
          <w:rFonts w:ascii="宋体" w:hAnsi="宋体" w:cs="宋体"/>
          <w:highlight w:val="none"/>
        </w:rPr>
        <w:t>298</w:t>
      </w:r>
      <w:r>
        <w:rPr>
          <w:rFonts w:hint="eastAsia" w:ascii="宋体" w:hAnsi="宋体" w:cs="宋体"/>
          <w:highlight w:val="none"/>
        </w:rPr>
        <w:t>号伊法达大厦</w:t>
      </w:r>
      <w:r>
        <w:rPr>
          <w:rFonts w:ascii="宋体" w:hAnsi="宋体" w:cs="宋体"/>
          <w:highlight w:val="none"/>
        </w:rPr>
        <w:t>9</w:t>
      </w:r>
      <w:r>
        <w:rPr>
          <w:rFonts w:hint="eastAsia" w:ascii="宋体" w:hAnsi="宋体" w:cs="宋体"/>
          <w:highlight w:val="none"/>
        </w:rPr>
        <w:t>层，联系人：</w:t>
      </w:r>
      <w:r>
        <w:rPr>
          <w:rFonts w:hint="eastAsia" w:ascii="宋体" w:hAnsi="宋体" w:cs="宋体"/>
          <w:highlight w:val="none"/>
          <w:lang w:eastAsia="zh-CN"/>
        </w:rPr>
        <w:t>张工</w:t>
      </w:r>
      <w:r>
        <w:rPr>
          <w:rFonts w:hint="eastAsia" w:ascii="宋体" w:hAnsi="宋体" w:cs="宋体"/>
          <w:highlight w:val="none"/>
        </w:rPr>
        <w:t xml:space="preserve"> 联系电话：</w:t>
      </w:r>
      <w:r>
        <w:rPr>
          <w:rFonts w:hint="eastAsia" w:ascii="宋体" w:hAnsi="宋体" w:cs="宋体"/>
          <w:highlight w:val="none"/>
          <w:lang w:val="en-US" w:eastAsia="zh-CN"/>
        </w:rPr>
        <w:t>0591-87821545</w:t>
      </w:r>
      <w:r>
        <w:rPr>
          <w:rFonts w:hint="eastAsia" w:ascii="宋体" w:hAnsi="宋体" w:cs="宋体"/>
          <w:highlight w:val="none"/>
        </w:rPr>
        <w:t xml:space="preserve"> ）。</w:t>
      </w:r>
      <w:r>
        <w:rPr>
          <w:rFonts w:hint="eastAsia" w:ascii="宋体" w:hAnsi="宋体" w:cs="宋体"/>
        </w:rPr>
        <w:t>逾期收到的或不符合规定的投标文件</w:t>
      </w:r>
      <w:r>
        <w:rPr>
          <w:rFonts w:hint="eastAsia" w:ascii="宋体" w:hAnsi="宋体" w:cs="宋体"/>
          <w:b/>
          <w:bCs/>
        </w:rPr>
        <w:t>将被拒</w:t>
      </w:r>
      <w:r>
        <w:rPr>
          <w:rFonts w:hint="eastAsia" w:ascii="宋体" w:hAnsi="宋体" w:cs="宋体"/>
          <w:b/>
          <w:bCs/>
          <w:highlight w:val="none"/>
        </w:rPr>
        <w:t>绝</w:t>
      </w:r>
      <w:r>
        <w:rPr>
          <w:rStyle w:val="7"/>
          <w:rFonts w:hint="eastAsia" w:ascii="宋体" w:hAnsi="宋体" w:cs="宋体"/>
          <w:highlight w:val="none"/>
        </w:rPr>
        <w:t>。</w:t>
      </w:r>
    </w:p>
    <w:p>
      <w:pPr>
        <w:pStyle w:val="4"/>
        <w:widowControl/>
        <w:spacing w:before="100" w:beforeAutospacing="1" w:after="100" w:afterAutospacing="1"/>
        <w:ind w:firstLine="480"/>
        <w:rPr>
          <w:rFonts w:hint="eastAsia" w:ascii="宋体" w:hAnsi="宋体" w:cs="宋体"/>
          <w:color w:val="000000"/>
          <w:highlight w:val="none"/>
        </w:rPr>
      </w:pPr>
      <w:r>
        <w:rPr>
          <w:rFonts w:hint="eastAsia" w:ascii="宋体" w:hAnsi="宋体" w:cs="宋体"/>
          <w:color w:val="000000"/>
          <w:highlight w:val="none"/>
        </w:rPr>
        <w:t>10、公告期限</w:t>
      </w:r>
    </w:p>
    <w:p>
      <w:pPr>
        <w:pStyle w:val="4"/>
        <w:widowControl/>
        <w:spacing w:before="100" w:beforeAutospacing="1" w:after="100" w:afterAutospacing="1"/>
        <w:ind w:firstLine="480"/>
        <w:rPr>
          <w:rFonts w:hint="default" w:ascii="宋体" w:hAnsi="宋体" w:eastAsia="宋体" w:cs="宋体"/>
          <w:color w:val="000000"/>
          <w:highlight w:val="none"/>
          <w:lang w:val="en-US" w:eastAsia="zh-CN"/>
        </w:rPr>
      </w:pPr>
      <w:r>
        <w:rPr>
          <w:rFonts w:hint="eastAsia" w:ascii="宋体" w:hAnsi="宋体" w:cs="宋体"/>
          <w:color w:val="000000"/>
          <w:highlight w:val="none"/>
          <w:lang w:val="en-US" w:eastAsia="zh-CN"/>
        </w:rPr>
        <w:t>10.1本次招标信息在闽清县农业农村局公告栏、闽清县农业农村局官网上发布。</w:t>
      </w:r>
    </w:p>
    <w:p>
      <w:pPr>
        <w:pStyle w:val="4"/>
        <w:widowControl/>
        <w:spacing w:before="100" w:beforeAutospacing="1" w:after="100" w:afterAutospacing="1"/>
        <w:ind w:firstLine="480"/>
        <w:rPr>
          <w:rFonts w:ascii="微软雅黑" w:hAnsi="微软雅黑" w:eastAsia="微软雅黑" w:cs="微软雅黑"/>
          <w:color w:val="000000"/>
          <w:sz w:val="27"/>
          <w:szCs w:val="27"/>
        </w:rPr>
      </w:pPr>
      <w:r>
        <w:rPr>
          <w:rFonts w:hint="eastAsia" w:ascii="宋体" w:hAnsi="宋体" w:cs="宋体"/>
          <w:color w:val="000000"/>
        </w:rPr>
        <w:t>10.</w:t>
      </w:r>
      <w:r>
        <w:rPr>
          <w:rFonts w:hint="eastAsia" w:ascii="宋体" w:hAnsi="宋体" w:cs="宋体"/>
          <w:color w:val="000000"/>
          <w:lang w:val="en-US" w:eastAsia="zh-CN"/>
        </w:rPr>
        <w:t>2</w:t>
      </w:r>
      <w:r>
        <w:rPr>
          <w:rFonts w:hint="eastAsia" w:ascii="宋体" w:hAnsi="宋体" w:cs="宋体"/>
          <w:color w:val="000000"/>
        </w:rPr>
        <w:t>询价公告的公告期限：自发布公告之日起3个工作日。</w:t>
      </w:r>
    </w:p>
    <w:p>
      <w:pPr>
        <w:pStyle w:val="4"/>
        <w:widowControl/>
        <w:spacing w:before="100" w:beforeAutospacing="1" w:after="100" w:afterAutospacing="1"/>
        <w:ind w:firstLine="480"/>
        <w:rPr>
          <w:rFonts w:ascii="宋体" w:hAnsi="宋体" w:cs="宋体"/>
        </w:rPr>
      </w:pPr>
      <w:r>
        <w:rPr>
          <w:rFonts w:hint="eastAsia" w:ascii="宋体" w:hAnsi="宋体" w:cs="宋体"/>
          <w:color w:val="000000"/>
        </w:rPr>
        <w:t>10.</w:t>
      </w:r>
      <w:r>
        <w:rPr>
          <w:rFonts w:hint="eastAsia" w:ascii="宋体" w:hAnsi="宋体" w:cs="宋体"/>
          <w:color w:val="000000"/>
          <w:lang w:val="en-US" w:eastAsia="zh-CN"/>
        </w:rPr>
        <w:t>3</w:t>
      </w:r>
      <w:r>
        <w:rPr>
          <w:rFonts w:hint="eastAsia" w:ascii="宋体" w:hAnsi="宋体" w:cs="宋体"/>
          <w:color w:val="000000"/>
        </w:rPr>
        <w:t>询价通知书随同询价公告一并发布，其公告期限与询价公告的期限保持一致。</w:t>
      </w:r>
    </w:p>
    <w:p>
      <w:pPr>
        <w:spacing w:line="400" w:lineRule="exact"/>
        <w:ind w:firstLine="480" w:firstLineChars="200"/>
        <w:jc w:val="left"/>
        <w:rPr>
          <w:rFonts w:ascii="宋体" w:hAnsi="宋体" w:cs="宋体"/>
          <w:sz w:val="24"/>
          <w:lang w:val="zh-CN"/>
        </w:rPr>
      </w:pPr>
      <w:r>
        <w:rPr>
          <w:rFonts w:hint="eastAsia" w:ascii="宋体" w:hAnsi="宋体" w:cs="宋体"/>
          <w:sz w:val="24"/>
        </w:rPr>
        <w:t>11、</w:t>
      </w:r>
      <w:r>
        <w:rPr>
          <w:rFonts w:hint="eastAsia" w:ascii="宋体" w:hAnsi="宋体" w:cs="宋体"/>
          <w:sz w:val="24"/>
          <w:lang w:val="zh-CN"/>
        </w:rPr>
        <w:t>潜在报价人购买询价文件应填写《领取询价文件登记表》，方为有效报名，且购买询价文件时的公司名称应与报价时的公司名称一致，本招标公司不接受未购买询价文件的潜在报价人，且可以不予以书面通知询价文件更改补充内容等（如果有的话）。</w:t>
      </w:r>
    </w:p>
    <w:p>
      <w:pPr>
        <w:pStyle w:val="4"/>
        <w:widowControl/>
        <w:adjustRightInd w:val="0"/>
        <w:snapToGrid w:val="0"/>
        <w:spacing w:after="0"/>
        <w:ind w:firstLine="480"/>
      </w:pPr>
      <w:r>
        <w:rPr>
          <w:rFonts w:hint="eastAsia" w:ascii="宋体" w:hAnsi="宋体" w:cs="宋体"/>
        </w:rPr>
        <w:t>12、采购人：闽清县农业农村局</w:t>
      </w:r>
    </w:p>
    <w:p>
      <w:pPr>
        <w:pStyle w:val="4"/>
        <w:widowControl/>
        <w:adjustRightInd w:val="0"/>
        <w:snapToGrid w:val="0"/>
        <w:spacing w:after="0"/>
        <w:ind w:firstLine="480"/>
      </w:pPr>
      <w:r>
        <w:rPr>
          <w:rFonts w:hint="eastAsia" w:ascii="宋体" w:hAnsi="宋体" w:cs="宋体"/>
        </w:rPr>
        <w:t>地址：</w:t>
      </w:r>
      <w:r>
        <w:rPr>
          <w:rFonts w:hint="eastAsia" w:ascii="宋体" w:hAnsi="宋体"/>
        </w:rPr>
        <w:t>闽清县梅溪路936号</w:t>
      </w:r>
    </w:p>
    <w:p>
      <w:pPr>
        <w:pStyle w:val="4"/>
        <w:widowControl/>
        <w:adjustRightInd w:val="0"/>
        <w:snapToGrid w:val="0"/>
        <w:spacing w:after="0"/>
        <w:ind w:firstLine="480"/>
      </w:pPr>
      <w:r>
        <w:rPr>
          <w:rFonts w:hint="eastAsia" w:ascii="宋体" w:hAnsi="宋体" w:cs="宋体"/>
        </w:rPr>
        <w:t>联系方法：</w:t>
      </w:r>
      <w:r>
        <w:rPr>
          <w:rFonts w:hint="eastAsia" w:ascii="宋体" w:hAnsi="宋体"/>
          <w:b/>
          <w:bCs/>
          <w:color w:val="000000"/>
          <w:szCs w:val="21"/>
        </w:rPr>
        <w:t>0591-22371745</w:t>
      </w:r>
    </w:p>
    <w:p>
      <w:pPr>
        <w:pStyle w:val="4"/>
        <w:widowControl/>
        <w:adjustRightInd w:val="0"/>
        <w:snapToGrid w:val="0"/>
        <w:spacing w:after="0"/>
        <w:ind w:firstLine="480"/>
      </w:pPr>
      <w:r>
        <w:rPr>
          <w:rFonts w:hint="eastAsia" w:ascii="宋体" w:hAnsi="宋体" w:cs="宋体"/>
        </w:rPr>
        <w:t>13、代理机构：福建广福联工程管理有限公司</w:t>
      </w:r>
    </w:p>
    <w:p>
      <w:pPr>
        <w:pStyle w:val="4"/>
        <w:widowControl/>
        <w:adjustRightInd w:val="0"/>
        <w:snapToGrid w:val="0"/>
        <w:spacing w:after="0"/>
        <w:ind w:firstLine="480" w:firstLineChars="200"/>
      </w:pPr>
      <w:r>
        <w:rPr>
          <w:rFonts w:hint="eastAsia" w:ascii="宋体" w:hAnsi="宋体" w:cs="宋体"/>
        </w:rPr>
        <w:t>地 址：福州市鼓楼区湖东路298号</w:t>
      </w:r>
    </w:p>
    <w:p>
      <w:pPr>
        <w:pStyle w:val="4"/>
        <w:widowControl/>
        <w:adjustRightInd w:val="0"/>
        <w:snapToGrid w:val="0"/>
        <w:spacing w:after="0" w:line="435" w:lineRule="atLeast"/>
        <w:ind w:firstLine="480"/>
      </w:pPr>
      <w:r>
        <w:rPr>
          <w:rFonts w:hint="eastAsia" w:ascii="宋体" w:hAnsi="宋体" w:cs="宋体"/>
        </w:rPr>
        <w:t>联系人：张工</w:t>
      </w:r>
      <w:r>
        <w:rPr>
          <w:rFonts w:hint="eastAsia" w:ascii="宋体" w:hAnsi="宋体"/>
          <w:color w:val="000000"/>
          <w:szCs w:val="21"/>
        </w:rPr>
        <w:tab/>
      </w:r>
    </w:p>
    <w:p>
      <w:pPr>
        <w:pStyle w:val="4"/>
        <w:widowControl/>
        <w:adjustRightInd w:val="0"/>
        <w:snapToGrid w:val="0"/>
        <w:spacing w:after="0" w:line="435" w:lineRule="atLeast"/>
        <w:ind w:firstLine="480"/>
      </w:pPr>
      <w:r>
        <w:rPr>
          <w:rFonts w:hint="eastAsia" w:ascii="宋体" w:hAnsi="宋体" w:cs="宋体"/>
        </w:rPr>
        <w:t>联系方法：</w:t>
      </w:r>
      <w:r>
        <w:rPr>
          <w:rFonts w:hint="eastAsia" w:ascii="宋体" w:hAnsi="宋体"/>
          <w:color w:val="000000"/>
          <w:szCs w:val="21"/>
        </w:rPr>
        <w:t xml:space="preserve"> 0591-87821545</w:t>
      </w:r>
    </w:p>
    <w:p>
      <w:pPr>
        <w:pStyle w:val="4"/>
        <w:widowControl/>
        <w:spacing w:beforeAutospacing="1" w:after="100" w:afterAutospacing="1"/>
        <w:ind w:firstLine="480"/>
      </w:pPr>
      <w:r>
        <w:rPr>
          <w:rFonts w:hint="eastAsia" w:ascii="宋体" w:hAnsi="宋体" w:cs="宋体"/>
        </w:rPr>
        <w:t>附1：提交询价保证金的银行账户信息</w:t>
      </w:r>
    </w:p>
    <w:tbl>
      <w:tblPr>
        <w:tblStyle w:val="5"/>
        <w:tblW w:w="928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17" w:type="dxa"/>
          <w:right w:w="17" w:type="dxa"/>
        </w:tblCellMar>
      </w:tblPr>
      <w:tblGrid>
        <w:gridCol w:w="9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80" w:type="dxa"/>
            <w:tcMar>
              <w:top w:w="0" w:type="dxa"/>
              <w:left w:w="105" w:type="dxa"/>
              <w:bottom w:w="0" w:type="dxa"/>
              <w:right w:w="105" w:type="dxa"/>
            </w:tcMar>
            <w:vAlign w:val="center"/>
          </w:tcPr>
          <w:p>
            <w:pPr>
              <w:pStyle w:val="4"/>
              <w:widowControl/>
              <w:spacing w:after="0" w:line="435" w:lineRule="atLeast"/>
              <w:jc w:val="center"/>
            </w:pPr>
            <w:r>
              <w:rPr>
                <w:rStyle w:val="7"/>
                <w:rFonts w:hint="eastAsia" w:ascii="宋体" w:hAnsi="宋体" w:cs="宋体"/>
              </w:rPr>
              <w:t>银行账户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9280" w:type="dxa"/>
            <w:tcMar>
              <w:top w:w="0" w:type="dxa"/>
              <w:left w:w="105" w:type="dxa"/>
              <w:bottom w:w="0" w:type="dxa"/>
              <w:right w:w="105" w:type="dxa"/>
            </w:tcMar>
          </w:tcPr>
          <w:p>
            <w:pPr>
              <w:pStyle w:val="4"/>
              <w:widowControl/>
              <w:spacing w:after="0"/>
            </w:pPr>
            <w:r>
              <w:rPr>
                <w:rFonts w:hint="eastAsia" w:ascii="宋体" w:hAnsi="宋体" w:cs="宋体"/>
              </w:rPr>
              <w:t>开户名称：</w:t>
            </w:r>
            <w:r>
              <w:rPr>
                <w:rFonts w:hint="eastAsia" w:ascii="宋体" w:hAnsi="宋体"/>
              </w:rPr>
              <w:t>福建广福联工程管理有限公司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9280" w:type="dxa"/>
            <w:tcMar>
              <w:top w:w="0" w:type="dxa"/>
              <w:left w:w="105" w:type="dxa"/>
              <w:bottom w:w="0" w:type="dxa"/>
              <w:right w:w="105" w:type="dxa"/>
            </w:tcMar>
          </w:tcPr>
          <w:p>
            <w:pPr>
              <w:pStyle w:val="4"/>
              <w:widowControl/>
              <w:spacing w:after="0"/>
            </w:pPr>
            <w:r>
              <w:rPr>
                <w:rFonts w:hint="eastAsia" w:ascii="宋体" w:hAnsi="宋体" w:cs="宋体"/>
              </w:rPr>
              <w:t>开户银行：</w:t>
            </w:r>
            <w:r>
              <w:rPr>
                <w:rFonts w:hint="eastAsia" w:ascii="宋体" w:hAnsi="宋体"/>
              </w:rPr>
              <w:t>福建海峡银行福州福新支行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9280" w:type="dxa"/>
            <w:tcMar>
              <w:top w:w="0" w:type="dxa"/>
              <w:left w:w="105" w:type="dxa"/>
              <w:bottom w:w="0" w:type="dxa"/>
              <w:right w:w="105" w:type="dxa"/>
            </w:tcMar>
          </w:tcPr>
          <w:p>
            <w:pPr>
              <w:pStyle w:val="4"/>
              <w:widowControl/>
              <w:spacing w:after="0"/>
            </w:pPr>
            <w:r>
              <w:rPr>
                <w:rFonts w:hint="eastAsia" w:ascii="宋体" w:hAnsi="宋体" w:cs="宋体"/>
              </w:rPr>
              <w:t>银行账号：</w:t>
            </w:r>
            <w:r>
              <w:rPr>
                <w:rFonts w:hint="eastAsia" w:ascii="宋体" w:hAnsi="宋体"/>
              </w:rPr>
              <w:t>100052808850010001</w:t>
            </w:r>
          </w:p>
        </w:tc>
      </w:tr>
    </w:tbl>
    <w:p>
      <w:pPr>
        <w:pStyle w:val="4"/>
        <w:widowControl/>
        <w:spacing w:beforeAutospacing="1"/>
      </w:pPr>
      <w:r>
        <w:rPr>
          <w:rFonts w:hint="eastAsia" w:ascii="宋体" w:hAnsi="宋体" w:cs="宋体"/>
        </w:rPr>
        <w:t>附2：采购标的一览表</w:t>
      </w:r>
    </w:p>
    <w:p>
      <w:pPr>
        <w:pStyle w:val="4"/>
        <w:widowControl/>
        <w:spacing w:beforeAutospacing="1"/>
        <w:jc w:val="right"/>
      </w:pPr>
      <w:r>
        <w:rPr>
          <w:rFonts w:hint="eastAsia" w:ascii="宋体" w:hAnsi="宋体" w:cs="宋体"/>
        </w:rPr>
        <w:t>金额单位：人民币元</w:t>
      </w:r>
    </w:p>
    <w:tbl>
      <w:tblPr>
        <w:tblStyle w:val="5"/>
        <w:tblW w:w="8992" w:type="dxa"/>
        <w:tblInd w:w="8"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742"/>
        <w:gridCol w:w="900"/>
        <w:gridCol w:w="1717"/>
        <w:gridCol w:w="1288"/>
        <w:gridCol w:w="1300"/>
        <w:gridCol w:w="987"/>
        <w:gridCol w:w="1258"/>
        <w:gridCol w:w="8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rPr>
        <w:tc>
          <w:tcPr>
            <w:tcW w:w="742" w:type="dxa"/>
            <w:tcBorders>
              <w:top w:val="outset" w:color="auto" w:sz="6" w:space="0"/>
              <w:left w:val="outset" w:color="auto" w:sz="6" w:space="0"/>
              <w:bottom w:val="outset" w:color="auto" w:sz="6" w:space="0"/>
              <w:right w:val="outset" w:color="auto" w:sz="6" w:space="0"/>
            </w:tcBorders>
            <w:vAlign w:val="center"/>
          </w:tcPr>
          <w:p>
            <w:pPr>
              <w:pStyle w:val="4"/>
              <w:widowControl/>
              <w:spacing w:after="0"/>
              <w:jc w:val="center"/>
              <w:rPr>
                <w:rFonts w:hint="eastAsia" w:ascii="宋体" w:hAnsi="宋体"/>
              </w:rPr>
            </w:pPr>
            <w:r>
              <w:rPr>
                <w:rFonts w:hint="eastAsia" w:ascii="宋体" w:hAnsi="宋体"/>
              </w:rPr>
              <w:t>合同包</w:t>
            </w:r>
          </w:p>
        </w:tc>
        <w:tc>
          <w:tcPr>
            <w:tcW w:w="900" w:type="dxa"/>
            <w:tcBorders>
              <w:top w:val="outset" w:color="auto" w:sz="6" w:space="0"/>
              <w:left w:val="outset" w:color="auto" w:sz="6" w:space="0"/>
              <w:bottom w:val="outset" w:color="auto" w:sz="6" w:space="0"/>
              <w:right w:val="single" w:color="auto" w:sz="4" w:space="0"/>
            </w:tcBorders>
            <w:vAlign w:val="center"/>
          </w:tcPr>
          <w:p>
            <w:pPr>
              <w:pStyle w:val="4"/>
              <w:widowControl/>
              <w:spacing w:after="0"/>
              <w:jc w:val="center"/>
              <w:rPr>
                <w:rFonts w:hint="eastAsia" w:ascii="宋体" w:hAnsi="宋体"/>
              </w:rPr>
            </w:pPr>
            <w:r>
              <w:rPr>
                <w:rFonts w:hint="eastAsia" w:ascii="宋体" w:hAnsi="宋体"/>
              </w:rPr>
              <w:t>品目号</w:t>
            </w:r>
          </w:p>
        </w:tc>
        <w:tc>
          <w:tcPr>
            <w:tcW w:w="1717" w:type="dxa"/>
            <w:tcBorders>
              <w:top w:val="outset" w:color="auto" w:sz="6" w:space="0"/>
              <w:left w:val="single" w:color="auto" w:sz="4" w:space="0"/>
              <w:bottom w:val="outset" w:color="auto" w:sz="6" w:space="0"/>
              <w:right w:val="single" w:color="auto" w:sz="4" w:space="0"/>
            </w:tcBorders>
            <w:vAlign w:val="center"/>
          </w:tcPr>
          <w:p>
            <w:pPr>
              <w:pStyle w:val="4"/>
              <w:widowControl/>
              <w:spacing w:after="0"/>
              <w:jc w:val="center"/>
              <w:rPr>
                <w:rFonts w:hint="eastAsia" w:ascii="宋体" w:hAnsi="宋体"/>
              </w:rPr>
            </w:pPr>
            <w:r>
              <w:rPr>
                <w:rFonts w:hint="eastAsia" w:ascii="宋体" w:hAnsi="宋体"/>
              </w:rPr>
              <w:t>采购标的</w:t>
            </w:r>
          </w:p>
        </w:tc>
        <w:tc>
          <w:tcPr>
            <w:tcW w:w="1288" w:type="dxa"/>
            <w:tcBorders>
              <w:top w:val="outset" w:color="auto" w:sz="6" w:space="0"/>
              <w:left w:val="single" w:color="auto" w:sz="4" w:space="0"/>
              <w:bottom w:val="outset" w:color="auto" w:sz="6" w:space="0"/>
              <w:right w:val="single" w:color="auto" w:sz="4" w:space="0"/>
            </w:tcBorders>
            <w:vAlign w:val="center"/>
          </w:tcPr>
          <w:p>
            <w:pPr>
              <w:pStyle w:val="4"/>
              <w:widowControl/>
              <w:spacing w:after="0"/>
              <w:jc w:val="center"/>
              <w:rPr>
                <w:rFonts w:hint="eastAsia" w:ascii="宋体" w:hAnsi="宋体"/>
              </w:rPr>
            </w:pPr>
            <w:r>
              <w:rPr>
                <w:rFonts w:hint="eastAsia" w:ascii="宋体" w:hAnsi="宋体"/>
              </w:rPr>
              <w:t>数量</w:t>
            </w:r>
          </w:p>
        </w:tc>
        <w:tc>
          <w:tcPr>
            <w:tcW w:w="1300" w:type="dxa"/>
            <w:tcBorders>
              <w:top w:val="outset" w:color="auto" w:sz="6" w:space="0"/>
              <w:left w:val="single" w:color="auto" w:sz="4" w:space="0"/>
              <w:bottom w:val="outset" w:color="auto" w:sz="6" w:space="0"/>
              <w:right w:val="single" w:color="auto" w:sz="4" w:space="0"/>
            </w:tcBorders>
            <w:vAlign w:val="center"/>
          </w:tcPr>
          <w:p>
            <w:pPr>
              <w:pStyle w:val="4"/>
              <w:widowControl/>
              <w:spacing w:after="0"/>
              <w:jc w:val="center"/>
              <w:rPr>
                <w:rFonts w:hint="eastAsia" w:ascii="宋体" w:hAnsi="宋体"/>
              </w:rPr>
            </w:pPr>
            <w:r>
              <w:rPr>
                <w:rFonts w:hint="eastAsia" w:ascii="宋体" w:hAnsi="宋体"/>
              </w:rPr>
              <w:t>品目号预算</w:t>
            </w:r>
          </w:p>
        </w:tc>
        <w:tc>
          <w:tcPr>
            <w:tcW w:w="987" w:type="dxa"/>
            <w:tcBorders>
              <w:top w:val="outset" w:color="auto" w:sz="6" w:space="0"/>
              <w:left w:val="single" w:color="auto" w:sz="4" w:space="0"/>
              <w:bottom w:val="outset" w:color="auto" w:sz="6" w:space="0"/>
              <w:right w:val="outset" w:color="auto" w:sz="6" w:space="0"/>
            </w:tcBorders>
            <w:vAlign w:val="center"/>
          </w:tcPr>
          <w:p>
            <w:pPr>
              <w:pStyle w:val="4"/>
              <w:widowControl/>
              <w:spacing w:after="0"/>
              <w:jc w:val="center"/>
              <w:rPr>
                <w:rFonts w:hint="eastAsia" w:ascii="宋体" w:hAnsi="宋体"/>
              </w:rPr>
            </w:pPr>
            <w:r>
              <w:rPr>
                <w:rFonts w:hint="eastAsia" w:ascii="宋体" w:hAnsi="宋体"/>
              </w:rPr>
              <w:t>允许进口</w:t>
            </w:r>
          </w:p>
        </w:tc>
        <w:tc>
          <w:tcPr>
            <w:tcW w:w="1258" w:type="dxa"/>
            <w:tcBorders>
              <w:top w:val="outset" w:color="auto" w:sz="6" w:space="0"/>
              <w:left w:val="outset" w:color="auto" w:sz="6" w:space="0"/>
              <w:bottom w:val="outset" w:color="auto" w:sz="6" w:space="0"/>
              <w:right w:val="outset" w:color="auto" w:sz="6" w:space="0"/>
            </w:tcBorders>
            <w:vAlign w:val="center"/>
          </w:tcPr>
          <w:p>
            <w:pPr>
              <w:pStyle w:val="4"/>
              <w:widowControl/>
              <w:spacing w:after="0"/>
              <w:jc w:val="center"/>
              <w:rPr>
                <w:rFonts w:hint="eastAsia" w:ascii="宋体" w:hAnsi="宋体"/>
              </w:rPr>
            </w:pPr>
            <w:r>
              <w:rPr>
                <w:rFonts w:hint="eastAsia" w:ascii="宋体" w:hAnsi="宋体"/>
              </w:rPr>
              <w:t>合同包预算</w:t>
            </w:r>
          </w:p>
        </w:tc>
        <w:tc>
          <w:tcPr>
            <w:tcW w:w="800" w:type="dxa"/>
            <w:tcBorders>
              <w:top w:val="outset" w:color="auto" w:sz="6" w:space="0"/>
              <w:left w:val="outset" w:color="auto" w:sz="6" w:space="0"/>
              <w:bottom w:val="outset" w:color="auto" w:sz="6" w:space="0"/>
              <w:right w:val="outset" w:color="auto" w:sz="6" w:space="0"/>
            </w:tcBorders>
            <w:vAlign w:val="center"/>
          </w:tcPr>
          <w:p>
            <w:pPr>
              <w:pStyle w:val="4"/>
              <w:widowControl/>
              <w:spacing w:after="0"/>
              <w:jc w:val="center"/>
              <w:rPr>
                <w:rFonts w:hint="eastAsia" w:ascii="宋体" w:hAnsi="宋体"/>
              </w:rPr>
            </w:pPr>
            <w:r>
              <w:rPr>
                <w:rFonts w:hint="eastAsia" w:ascii="宋体" w:hAnsi="宋体"/>
              </w:rPr>
              <w:t>询价保证金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57" w:hRule="atLeast"/>
        </w:trPr>
        <w:tc>
          <w:tcPr>
            <w:tcW w:w="742" w:type="dxa"/>
            <w:tcBorders>
              <w:top w:val="outset" w:color="auto" w:sz="6" w:space="0"/>
              <w:left w:val="outset" w:color="auto" w:sz="6" w:space="0"/>
              <w:bottom w:val="single" w:color="auto" w:sz="4" w:space="0"/>
              <w:right w:val="outset" w:color="auto" w:sz="6" w:space="0"/>
            </w:tcBorders>
            <w:vAlign w:val="center"/>
          </w:tcPr>
          <w:p>
            <w:pPr>
              <w:pStyle w:val="4"/>
              <w:widowControl/>
              <w:spacing w:after="0"/>
              <w:jc w:val="center"/>
              <w:rPr>
                <w:rFonts w:hint="eastAsia" w:ascii="宋体" w:hAnsi="宋体"/>
              </w:rPr>
            </w:pPr>
            <w:r>
              <w:rPr>
                <w:rFonts w:hint="eastAsia" w:ascii="宋体" w:hAnsi="宋体"/>
              </w:rPr>
              <w:t>1</w:t>
            </w:r>
          </w:p>
        </w:tc>
        <w:tc>
          <w:tcPr>
            <w:tcW w:w="900" w:type="dxa"/>
            <w:tcBorders>
              <w:top w:val="outset" w:color="auto" w:sz="6" w:space="0"/>
              <w:left w:val="outset" w:color="auto" w:sz="6" w:space="0"/>
              <w:bottom w:val="outset" w:color="auto" w:sz="6" w:space="0"/>
              <w:right w:val="single" w:color="auto" w:sz="4" w:space="0"/>
            </w:tcBorders>
            <w:vAlign w:val="center"/>
          </w:tcPr>
          <w:p>
            <w:pPr>
              <w:pStyle w:val="4"/>
              <w:widowControl/>
              <w:spacing w:after="0"/>
              <w:jc w:val="center"/>
              <w:rPr>
                <w:rFonts w:hint="eastAsia" w:ascii="宋体" w:hAnsi="宋体"/>
              </w:rPr>
            </w:pPr>
            <w:r>
              <w:rPr>
                <w:rFonts w:hint="eastAsia" w:ascii="宋体" w:hAnsi="宋体"/>
              </w:rPr>
              <w:t>1-1</w:t>
            </w:r>
          </w:p>
        </w:tc>
        <w:tc>
          <w:tcPr>
            <w:tcW w:w="1717" w:type="dxa"/>
            <w:tcBorders>
              <w:top w:val="outset" w:color="auto" w:sz="6" w:space="0"/>
              <w:left w:val="single" w:color="auto" w:sz="4" w:space="0"/>
              <w:bottom w:val="outset" w:color="auto" w:sz="6" w:space="0"/>
              <w:right w:val="single" w:color="auto" w:sz="4" w:space="0"/>
            </w:tcBorders>
            <w:vAlign w:val="center"/>
          </w:tcPr>
          <w:p>
            <w:pPr>
              <w:pStyle w:val="4"/>
              <w:widowControl/>
              <w:spacing w:after="0"/>
              <w:jc w:val="center"/>
              <w:rPr>
                <w:rFonts w:hint="eastAsia" w:ascii="宋体" w:hAnsi="宋体"/>
              </w:rPr>
            </w:pPr>
            <w:r>
              <w:rPr>
                <w:rFonts w:hint="eastAsia" w:ascii="宋体" w:hAnsi="宋体"/>
              </w:rPr>
              <w:t>测绘服务</w:t>
            </w:r>
          </w:p>
        </w:tc>
        <w:tc>
          <w:tcPr>
            <w:tcW w:w="1288" w:type="dxa"/>
            <w:tcBorders>
              <w:top w:val="outset" w:color="auto" w:sz="6" w:space="0"/>
              <w:left w:val="single" w:color="auto" w:sz="4" w:space="0"/>
              <w:bottom w:val="outset" w:color="auto" w:sz="6" w:space="0"/>
              <w:right w:val="single" w:color="auto" w:sz="4" w:space="0"/>
            </w:tcBorders>
            <w:vAlign w:val="center"/>
          </w:tcPr>
          <w:p>
            <w:pPr>
              <w:pStyle w:val="4"/>
              <w:widowControl/>
              <w:spacing w:after="0"/>
              <w:jc w:val="center"/>
              <w:rPr>
                <w:rFonts w:hint="eastAsia" w:ascii="宋体" w:hAnsi="宋体"/>
              </w:rPr>
            </w:pPr>
            <w:r>
              <w:rPr>
                <w:rFonts w:hint="eastAsia" w:ascii="宋体" w:hAnsi="宋体"/>
              </w:rPr>
              <w:t>1（批）</w:t>
            </w:r>
          </w:p>
        </w:tc>
        <w:tc>
          <w:tcPr>
            <w:tcW w:w="1300" w:type="dxa"/>
            <w:tcBorders>
              <w:top w:val="outset" w:color="auto" w:sz="6" w:space="0"/>
              <w:left w:val="single" w:color="auto" w:sz="4" w:space="0"/>
              <w:bottom w:val="outset" w:color="auto" w:sz="6" w:space="0"/>
              <w:right w:val="single" w:color="auto" w:sz="4" w:space="0"/>
            </w:tcBorders>
            <w:vAlign w:val="center"/>
          </w:tcPr>
          <w:p>
            <w:pPr>
              <w:pStyle w:val="4"/>
              <w:widowControl/>
              <w:spacing w:after="0"/>
              <w:jc w:val="center"/>
              <w:rPr>
                <w:rFonts w:hint="eastAsia" w:ascii="宋体" w:hAnsi="宋体"/>
              </w:rPr>
            </w:pPr>
            <w:r>
              <w:rPr>
                <w:rFonts w:hint="eastAsia" w:ascii="宋体" w:hAnsi="宋体"/>
                <w:lang w:val="en-US" w:eastAsia="zh-CN"/>
              </w:rPr>
              <w:t>1350</w:t>
            </w:r>
            <w:r>
              <w:rPr>
                <w:rFonts w:hint="eastAsia" w:ascii="宋体" w:hAnsi="宋体"/>
              </w:rPr>
              <w:t>00</w:t>
            </w:r>
          </w:p>
        </w:tc>
        <w:tc>
          <w:tcPr>
            <w:tcW w:w="987" w:type="dxa"/>
            <w:tcBorders>
              <w:top w:val="outset" w:color="auto" w:sz="6" w:space="0"/>
              <w:left w:val="single" w:color="auto" w:sz="4" w:space="0"/>
              <w:bottom w:val="outset" w:color="auto" w:sz="6" w:space="0"/>
              <w:right w:val="outset" w:color="auto" w:sz="6" w:space="0"/>
            </w:tcBorders>
            <w:vAlign w:val="center"/>
          </w:tcPr>
          <w:p>
            <w:pPr>
              <w:pStyle w:val="4"/>
              <w:widowControl/>
              <w:spacing w:after="0"/>
              <w:jc w:val="center"/>
              <w:rPr>
                <w:rFonts w:hint="eastAsia" w:ascii="宋体" w:hAnsi="宋体"/>
              </w:rPr>
            </w:pPr>
            <w:r>
              <w:rPr>
                <w:rFonts w:hint="eastAsia" w:ascii="宋体" w:hAnsi="宋体"/>
              </w:rPr>
              <w:t>否</w:t>
            </w:r>
          </w:p>
        </w:tc>
        <w:tc>
          <w:tcPr>
            <w:tcW w:w="1258" w:type="dxa"/>
            <w:tcBorders>
              <w:top w:val="outset" w:color="auto" w:sz="6" w:space="0"/>
              <w:left w:val="outset" w:color="auto" w:sz="6" w:space="0"/>
              <w:bottom w:val="single" w:color="auto" w:sz="4" w:space="0"/>
              <w:right w:val="outset" w:color="auto" w:sz="6" w:space="0"/>
            </w:tcBorders>
            <w:vAlign w:val="center"/>
          </w:tcPr>
          <w:p>
            <w:pPr>
              <w:pStyle w:val="4"/>
              <w:widowControl/>
              <w:spacing w:after="0"/>
              <w:jc w:val="center"/>
              <w:rPr>
                <w:rFonts w:hint="eastAsia" w:ascii="宋体" w:hAnsi="宋体"/>
              </w:rPr>
            </w:pPr>
            <w:r>
              <w:rPr>
                <w:rFonts w:hint="eastAsia" w:ascii="宋体" w:hAnsi="宋体"/>
                <w:lang w:val="en-US" w:eastAsia="zh-CN"/>
              </w:rPr>
              <w:t>1350</w:t>
            </w:r>
            <w:r>
              <w:rPr>
                <w:rFonts w:hint="eastAsia" w:ascii="宋体" w:hAnsi="宋体"/>
              </w:rPr>
              <w:t>00</w:t>
            </w:r>
          </w:p>
        </w:tc>
        <w:tc>
          <w:tcPr>
            <w:tcW w:w="800" w:type="dxa"/>
            <w:tcBorders>
              <w:top w:val="outset" w:color="auto" w:sz="6" w:space="0"/>
              <w:left w:val="outset" w:color="auto" w:sz="6" w:space="0"/>
              <w:bottom w:val="single" w:color="auto" w:sz="4" w:space="0"/>
              <w:right w:val="outset" w:color="auto" w:sz="6" w:space="0"/>
            </w:tcBorders>
            <w:vAlign w:val="center"/>
          </w:tcPr>
          <w:p>
            <w:pPr>
              <w:pStyle w:val="4"/>
              <w:widowControl/>
              <w:spacing w:after="0"/>
              <w:jc w:val="center"/>
              <w:rPr>
                <w:rFonts w:hint="eastAsia" w:ascii="宋体" w:hAnsi="宋体"/>
              </w:rPr>
            </w:pPr>
            <w:r>
              <w:rPr>
                <w:rFonts w:hint="eastAsia" w:ascii="宋体" w:hAnsi="宋体"/>
              </w:rPr>
              <w:t>0</w:t>
            </w:r>
          </w:p>
        </w:tc>
      </w:tr>
    </w:tbl>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B0AA0E"/>
    <w:multiLevelType w:val="singleLevel"/>
    <w:tmpl w:val="D5B0AA0E"/>
    <w:lvl w:ilvl="0" w:tentative="0">
      <w:start w:val="6"/>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1ODUzZWNkNTFjODkyYTYwN2VmMGE2OWQzYjRmODIifQ=="/>
  </w:docVars>
  <w:rsids>
    <w:rsidRoot w:val="6FF1674E"/>
    <w:rsid w:val="6FF167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Fließtext"/>
    <w:basedOn w:val="1"/>
    <w:qFormat/>
    <w:uiPriority w:val="0"/>
    <w:pPr>
      <w:overflowPunct w:val="0"/>
      <w:autoSpaceDE w:val="0"/>
      <w:autoSpaceDN w:val="0"/>
      <w:adjustRightInd w:val="0"/>
      <w:textAlignment w:val="baseline"/>
    </w:pPr>
    <w:rPr>
      <w:kern w:val="28"/>
      <w:szCs w:val="20"/>
    </w:rPr>
  </w:style>
  <w:style w:type="paragraph" w:styleId="3">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4">
    <w:name w:val="Normal (Web)"/>
    <w:basedOn w:val="1"/>
    <w:qFormat/>
    <w:uiPriority w:val="0"/>
    <w:pPr>
      <w:spacing w:after="120"/>
      <w:jc w:val="left"/>
    </w:pPr>
    <w:rPr>
      <w:kern w:val="0"/>
      <w:sz w:val="24"/>
    </w:rPr>
  </w:style>
  <w:style w:type="character" w:styleId="7">
    <w:name w:val="Strong"/>
    <w:qFormat/>
    <w:uiPriority w:val="22"/>
    <w:rPr>
      <w:b/>
    </w:rPr>
  </w:style>
  <w:style w:type="paragraph" w:styleId="8">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2022-05-23T03:56:00Z</dcterms:created>
  <dc:creator>NTKO</dc:creator>
  <cp:lastModifiedBy>NTKO</cp:lastModifiedBy>
  <dcterms:modified xsi:type="dcterms:W3CDTF">2022-05-23T03:57:38Z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620B9FB1CAD94B2F918F80F0F0760E81</vt:lpwstr>
  </property>
</Properties>
</file>